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6B921365" w:rsidR="002723AC" w:rsidRPr="00C23E39" w:rsidRDefault="0007596E" w:rsidP="00BB5E79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0A2BDD">
        <w:rPr>
          <w:rFonts w:ascii="Times New Roman" w:hAnsi="Times New Roman" w:cs="Times New Roman"/>
          <w:b/>
          <w:sz w:val="18"/>
        </w:rPr>
        <w:t>26</w:t>
      </w:r>
      <w:r w:rsidR="00E75F1C">
        <w:rPr>
          <w:rFonts w:ascii="Times New Roman" w:hAnsi="Times New Roman" w:cs="Times New Roman"/>
          <w:b/>
          <w:sz w:val="18"/>
        </w:rPr>
        <w:t>-02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1D1FEE">
        <w:rPr>
          <w:rFonts w:ascii="Times New Roman" w:hAnsi="Times New Roman" w:cs="Times New Roman"/>
          <w:b/>
          <w:sz w:val="18"/>
        </w:rPr>
        <w:t>2021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1D1FEE" w:rsidRDefault="00FE3213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D1FEE">
        <w:rPr>
          <w:rFonts w:ascii="Times New Roman" w:hAnsi="Times New Roman" w:cs="Times New Roman"/>
          <w:sz w:val="18"/>
        </w:rPr>
        <w:t>Izabela Jędruch</w:t>
      </w:r>
      <w:r w:rsidR="002723AC" w:rsidRPr="001D1FEE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6B5C37" w:rsidRDefault="00FE3213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6B5C37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6B5C37">
        <w:rPr>
          <w:rFonts w:ascii="Times New Roman" w:hAnsi="Times New Roman" w:cs="Times New Roman"/>
          <w:sz w:val="18"/>
        </w:rPr>
        <w:t>i</w:t>
      </w:r>
      <w:r w:rsidRPr="006B5C37">
        <w:rPr>
          <w:rFonts w:ascii="Times New Roman" w:hAnsi="Times New Roman" w:cs="Times New Roman"/>
          <w:sz w:val="18"/>
        </w:rPr>
        <w:t>zabela.jedruch</w:t>
      </w:r>
      <w:r w:rsidR="002723AC" w:rsidRPr="006B5C37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6B5C37" w:rsidRDefault="00FE3213" w:rsidP="00BB5E79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5DF36D7D" w14:textId="77777777" w:rsidR="006B5C37" w:rsidRDefault="006B5C37" w:rsidP="006B5C37">
      <w:pPr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Najemcy zostają na dłużej w centrach </w:t>
      </w:r>
      <w:proofErr w:type="spellStart"/>
      <w:r>
        <w:rPr>
          <w:rFonts w:ascii="Times New Roman" w:hAnsi="Times New Roman"/>
          <w:b/>
          <w:sz w:val="36"/>
          <w:szCs w:val="36"/>
        </w:rPr>
        <w:t>convenience</w:t>
      </w:r>
      <w:proofErr w:type="spellEnd"/>
      <w:r>
        <w:rPr>
          <w:rFonts w:ascii="Times New Roman" w:hAnsi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b/>
          <w:sz w:val="36"/>
          <w:szCs w:val="36"/>
        </w:rPr>
        <w:t>Newbridge</w:t>
      </w:r>
      <w:proofErr w:type="spellEnd"/>
      <w:r>
        <w:rPr>
          <w:rFonts w:ascii="Times New Roman" w:hAnsi="Times New Roman"/>
          <w:b/>
          <w:sz w:val="36"/>
          <w:szCs w:val="36"/>
        </w:rPr>
        <w:t xml:space="preserve">. W sumie prolongaty obejmą 3,5 tys. m kw.  </w:t>
      </w:r>
    </w:p>
    <w:p w14:paraId="5EBC4E9E" w14:textId="77777777" w:rsidR="006B5C37" w:rsidRDefault="006B5C37" w:rsidP="006B5C37">
      <w:pPr>
        <w:spacing w:line="240" w:lineRule="auto"/>
        <w:jc w:val="both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</w:rPr>
        <w:t>Tenant</w:t>
      </w:r>
      <w:proofErr w:type="spellEnd"/>
      <w:r>
        <w:rPr>
          <w:rFonts w:ascii="Times New Roman" w:hAnsi="Times New Roman"/>
          <w:i/>
        </w:rPr>
        <w:t xml:space="preserve">-mix centrów handlowych </w:t>
      </w:r>
      <w:proofErr w:type="spellStart"/>
      <w:r>
        <w:rPr>
          <w:rFonts w:ascii="Times New Roman" w:hAnsi="Times New Roman"/>
          <w:i/>
        </w:rPr>
        <w:t>Newbridge</w:t>
      </w:r>
      <w:proofErr w:type="spellEnd"/>
      <w:r>
        <w:rPr>
          <w:rFonts w:ascii="Times New Roman" w:hAnsi="Times New Roman"/>
          <w:i/>
        </w:rPr>
        <w:t xml:space="preserve"> uległ wzmocnieni</w:t>
      </w:r>
      <w:bookmarkStart w:id="0" w:name="_GoBack"/>
      <w:bookmarkEnd w:id="0"/>
      <w:r>
        <w:rPr>
          <w:rFonts w:ascii="Times New Roman" w:hAnsi="Times New Roman"/>
          <w:i/>
        </w:rPr>
        <w:t xml:space="preserve">u. W ostatnich tygodniach na prolongaty umów najmu znajdujących się w portfolio inwestora zdecydowało się łącznie 25 najemców. </w:t>
      </w:r>
    </w:p>
    <w:p w14:paraId="7920E70D" w14:textId="66778E0A" w:rsidR="006B5C37" w:rsidRDefault="006B5C37" w:rsidP="006B5C37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Nowych Czyżynach w Krakowie decyzję o przedłużeniu umów najmu podjęło 11 najemców, natomiast w Nowych Bielawach w Toruniu kontynuację działalności w obiekcie planuje 10 marek. Z kolei w Nowej Górnej </w:t>
      </w:r>
      <w:r w:rsidR="000476CE">
        <w:rPr>
          <w:rFonts w:ascii="Times New Roman" w:hAnsi="Times New Roman"/>
          <w:sz w:val="20"/>
          <w:szCs w:val="20"/>
        </w:rPr>
        <w:t xml:space="preserve">w Łodzi </w:t>
      </w:r>
      <w:r>
        <w:rPr>
          <w:rFonts w:ascii="Times New Roman" w:hAnsi="Times New Roman"/>
          <w:sz w:val="20"/>
          <w:szCs w:val="20"/>
        </w:rPr>
        <w:t xml:space="preserve">na dalszą inwestycję w wynajem zdecydowało się 4 najemców. </w:t>
      </w:r>
    </w:p>
    <w:p w14:paraId="7E4CCDE3" w14:textId="77777777" w:rsidR="006B5C37" w:rsidRDefault="006B5C37" w:rsidP="006B5C37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Grono marek prolongujących umowy z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zasiliły największe światowe, jak i krajowe marki m.in. gastronomiczne, modowe, jubilerskie czy usługi. Wśród nich są restauracje sieci KFC oraz Olimp, najszybciej rozwijającego się w Polsce konceptu z jedzeniem na wagę, </w:t>
      </w:r>
      <w:proofErr w:type="spellStart"/>
      <w:r>
        <w:rPr>
          <w:rFonts w:ascii="Times New Roman" w:hAnsi="Times New Roman"/>
          <w:sz w:val="20"/>
          <w:szCs w:val="20"/>
        </w:rPr>
        <w:t>Kodano</w:t>
      </w:r>
      <w:proofErr w:type="spellEnd"/>
      <w:r>
        <w:rPr>
          <w:rFonts w:ascii="Times New Roman" w:hAnsi="Times New Roman"/>
          <w:sz w:val="20"/>
          <w:szCs w:val="20"/>
        </w:rPr>
        <w:t xml:space="preserve"> Optyk, </w:t>
      </w:r>
      <w:proofErr w:type="spellStart"/>
      <w:r>
        <w:rPr>
          <w:rFonts w:ascii="Times New Roman" w:hAnsi="Times New Roman"/>
          <w:sz w:val="20"/>
          <w:szCs w:val="20"/>
        </w:rPr>
        <w:t>Greenpoint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Quiosque</w:t>
      </w:r>
      <w:proofErr w:type="spellEnd"/>
      <w:r>
        <w:rPr>
          <w:rFonts w:ascii="Times New Roman" w:hAnsi="Times New Roman"/>
          <w:sz w:val="20"/>
          <w:szCs w:val="20"/>
        </w:rPr>
        <w:t xml:space="preserve">, Sevilla, Jubiler Sezam, ale także biuro podróży </w:t>
      </w:r>
      <w:proofErr w:type="spellStart"/>
      <w:r>
        <w:rPr>
          <w:rFonts w:ascii="Times New Roman" w:hAnsi="Times New Roman"/>
          <w:sz w:val="20"/>
          <w:szCs w:val="20"/>
        </w:rPr>
        <w:t>Sunway</w:t>
      </w:r>
      <w:proofErr w:type="spellEnd"/>
      <w:r>
        <w:rPr>
          <w:rFonts w:ascii="Times New Roman" w:hAnsi="Times New Roman"/>
          <w:sz w:val="20"/>
          <w:szCs w:val="20"/>
        </w:rPr>
        <w:t xml:space="preserve"> Travel, salon fryzjerski Frątczak, </w:t>
      </w:r>
      <w:proofErr w:type="spellStart"/>
      <w:r>
        <w:rPr>
          <w:rFonts w:ascii="Times New Roman" w:hAnsi="Times New Roman"/>
          <w:sz w:val="20"/>
          <w:szCs w:val="20"/>
        </w:rPr>
        <w:t>Torre</w:t>
      </w:r>
      <w:proofErr w:type="spellEnd"/>
      <w:r>
        <w:rPr>
          <w:rFonts w:ascii="Times New Roman" w:hAnsi="Times New Roman"/>
          <w:sz w:val="20"/>
          <w:szCs w:val="20"/>
        </w:rPr>
        <w:t xml:space="preserve"> GSM i </w:t>
      </w:r>
      <w:proofErr w:type="spellStart"/>
      <w:r>
        <w:rPr>
          <w:rFonts w:ascii="Times New Roman" w:hAnsi="Times New Roman"/>
          <w:sz w:val="20"/>
          <w:szCs w:val="20"/>
        </w:rPr>
        <w:t>Telakces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14:paraId="63837A85" w14:textId="77777777" w:rsidR="006B5C37" w:rsidRDefault="006B5C37" w:rsidP="006B5C37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- Pandemia była wyzwaniem dla wszystkich uczestników rynku. W tej sytuacji tym bardziej doceniamy zaufanie naszych partnerów biznesowych, którzy nadal chcą się rozwijać w obiektach </w:t>
      </w:r>
      <w:proofErr w:type="spellStart"/>
      <w:r>
        <w:rPr>
          <w:rFonts w:ascii="Times New Roman" w:hAnsi="Times New Roman"/>
          <w:i/>
          <w:sz w:val="20"/>
          <w:szCs w:val="20"/>
        </w:rPr>
        <w:t>Newbridge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- </w:t>
      </w:r>
      <w:r>
        <w:rPr>
          <w:rFonts w:ascii="Times New Roman" w:hAnsi="Times New Roman"/>
          <w:b/>
          <w:sz w:val="20"/>
          <w:szCs w:val="20"/>
        </w:rPr>
        <w:t xml:space="preserve">mówi Karolina </w:t>
      </w:r>
      <w:proofErr w:type="spellStart"/>
      <w:r>
        <w:rPr>
          <w:rFonts w:ascii="Times New Roman" w:hAnsi="Times New Roman"/>
          <w:b/>
          <w:sz w:val="20"/>
          <w:szCs w:val="20"/>
        </w:rPr>
        <w:t>Nitowska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,  Leasing Manager </w:t>
      </w:r>
      <w:proofErr w:type="spellStart"/>
      <w:r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Poland.</w:t>
      </w:r>
    </w:p>
    <w:p w14:paraId="4600204D" w14:textId="77777777" w:rsidR="006B5C37" w:rsidRDefault="006B5C37" w:rsidP="006B5C37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Inwestor jednak na tym nie poprzestaje, a negocjacje z kolejnymi markami są w toku. Podkreśla również, że dotychczasowe relacje z wieloletnimi partnerami biznesowymi uległy wzmocnieniu. </w:t>
      </w:r>
      <w:r>
        <w:rPr>
          <w:rFonts w:ascii="Times New Roman" w:hAnsi="Times New Roman"/>
          <w:i/>
          <w:sz w:val="20"/>
          <w:szCs w:val="20"/>
        </w:rPr>
        <w:t xml:space="preserve">– Podczas rozmów z najemcami udało się wypracować rozwiązania satysfakcjonujące dla obu stron, co jest efektem indywidualnego podejścia i wsłuchania się w potrzeby każdego z nich </w:t>
      </w:r>
      <w:r>
        <w:rPr>
          <w:rFonts w:ascii="Times New Roman" w:hAnsi="Times New Roman"/>
          <w:sz w:val="20"/>
          <w:szCs w:val="20"/>
        </w:rPr>
        <w:t xml:space="preserve">– zapewnia Karolina </w:t>
      </w:r>
      <w:proofErr w:type="spellStart"/>
      <w:r>
        <w:rPr>
          <w:rFonts w:ascii="Times New Roman" w:hAnsi="Times New Roman"/>
          <w:sz w:val="20"/>
          <w:szCs w:val="20"/>
        </w:rPr>
        <w:t>Nitowska</w:t>
      </w:r>
      <w:proofErr w:type="spellEnd"/>
      <w:r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b/>
          <w:sz w:val="20"/>
          <w:szCs w:val="20"/>
        </w:rPr>
        <w:t xml:space="preserve"> </w:t>
      </w:r>
    </w:p>
    <w:p w14:paraId="0DE3F79A" w14:textId="77777777" w:rsidR="006B5C37" w:rsidRDefault="006B5C37" w:rsidP="006B5C37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Format </w:t>
      </w:r>
      <w:proofErr w:type="spellStart"/>
      <w:r>
        <w:rPr>
          <w:rFonts w:ascii="Times New Roman" w:hAnsi="Times New Roman"/>
          <w:b/>
          <w:sz w:val="20"/>
          <w:szCs w:val="20"/>
        </w:rPr>
        <w:t>convenience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atrakcyjny dla najemców</w:t>
      </w:r>
    </w:p>
    <w:p w14:paraId="7D9E8950" w14:textId="77777777" w:rsidR="006B5C37" w:rsidRDefault="006B5C37" w:rsidP="006B5C37">
      <w:pPr>
        <w:shd w:val="clear" w:color="auto" w:fill="FFFFFF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To nie pierwszy sukces leasingowy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w ostatnim czasie.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Jesień przyniosła prawdziwy wysyp prolongat. </w:t>
      </w:r>
      <w:r>
        <w:rPr>
          <w:rFonts w:ascii="Times New Roman" w:hAnsi="Times New Roman"/>
          <w:sz w:val="20"/>
          <w:szCs w:val="20"/>
        </w:rPr>
        <w:t xml:space="preserve">W październiku 2020 roku na pozostanie w centrach z portfolio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zdecydowało się 26 najemców, a we wrześniu prolongowano umowy z aż 60 markami. </w:t>
      </w:r>
    </w:p>
    <w:p w14:paraId="4606AF02" w14:textId="77777777" w:rsidR="006B5C37" w:rsidRDefault="006B5C37" w:rsidP="006B5C37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Jak twierdzą przedstawiciele spółki, na taką sytuację mogą mieć wpływ nie tylko liczne modernizacje, zmiany w ofercie i marketingu, ale również stabilna pozycja centrów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na lokalnych rynkach i to pomimo wyzwań, jakie stawia dziś branża. Wyraźnie widać to na przykładzie obiektów w Krakowie, Toruniu oraz Łodzi. </w:t>
      </w:r>
    </w:p>
    <w:p w14:paraId="2DA2AECA" w14:textId="551841BD" w:rsidR="006B5C37" w:rsidRPr="006B5C37" w:rsidRDefault="006B5C37" w:rsidP="006B5C37">
      <w:pPr>
        <w:spacing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Nowe Czyżyny, Nowe Bielawy oraz Nowa Górna jako dynamicznie rozwijające się centra handlowe, oparte na kompleksowej ofercie i zapewniające tak kluczowe w dobie pandemii udogodnienia zakupowe, dobrze odnajdują się w obecnej rzeczywistości handlowej. Nowe inwestycje najemców i prolongaty są tego najlepszym dowodem, a zarazem sygnałem, że format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coraz bardziej zyskuje na znaczeniu </w:t>
      </w:r>
      <w:r>
        <w:rPr>
          <w:rFonts w:ascii="Times New Roman" w:hAnsi="Times New Roman"/>
          <w:sz w:val="20"/>
          <w:szCs w:val="20"/>
        </w:rPr>
        <w:t xml:space="preserve">- konkluduje Karolina </w:t>
      </w:r>
      <w:proofErr w:type="spellStart"/>
      <w:r>
        <w:rPr>
          <w:rFonts w:ascii="Times New Roman" w:hAnsi="Times New Roman"/>
          <w:sz w:val="20"/>
          <w:szCs w:val="20"/>
        </w:rPr>
        <w:t>Nitowska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</w:p>
    <w:p w14:paraId="18BE4FC9" w14:textId="77777777" w:rsidR="00BB14D0" w:rsidRDefault="00BB14D0" w:rsidP="00BB14D0">
      <w:pPr>
        <w:pStyle w:val="Bezodstpw"/>
        <w:rPr>
          <w:rFonts w:ascii="Times New Roman" w:hAnsi="Times New Roman"/>
          <w:b/>
          <w:sz w:val="36"/>
          <w:szCs w:val="36"/>
        </w:rPr>
      </w:pPr>
    </w:p>
    <w:p w14:paraId="1C90EB88" w14:textId="77777777" w:rsidR="001C5B3E" w:rsidRDefault="001C5B3E" w:rsidP="00BB14D0">
      <w:pPr>
        <w:pStyle w:val="Bezodstpw"/>
        <w:rPr>
          <w:rFonts w:ascii="Times New Roman" w:hAnsi="Times New Roman"/>
          <w:sz w:val="20"/>
          <w:szCs w:val="20"/>
        </w:rPr>
      </w:pPr>
    </w:p>
    <w:p w14:paraId="2DB9983B" w14:textId="77777777" w:rsidR="00696A6D" w:rsidRPr="00BB14D0" w:rsidRDefault="00696A6D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00D7B0A" w14:textId="13910B59" w:rsidR="001B3440" w:rsidRPr="00BB14D0" w:rsidRDefault="00E31D61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proofErr w:type="spellStart"/>
      <w:r w:rsidRPr="00BB14D0">
        <w:rPr>
          <w:rFonts w:ascii="Times New Roman" w:hAnsi="Times New Roman"/>
          <w:sz w:val="20"/>
          <w:szCs w:val="20"/>
        </w:rPr>
        <w:t>Tagi</w:t>
      </w:r>
      <w:proofErr w:type="spellEnd"/>
      <w:r w:rsidRPr="00BB14D0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BB14D0">
        <w:rPr>
          <w:rFonts w:ascii="Times New Roman" w:hAnsi="Times New Roman"/>
          <w:sz w:val="20"/>
          <w:szCs w:val="20"/>
        </w:rPr>
        <w:t>Newbridge</w:t>
      </w:r>
      <w:proofErr w:type="spellEnd"/>
      <w:r w:rsidR="00CC4E5D">
        <w:rPr>
          <w:rFonts w:ascii="Times New Roman" w:hAnsi="Times New Roman"/>
          <w:sz w:val="20"/>
          <w:szCs w:val="20"/>
        </w:rPr>
        <w:t xml:space="preserve">, </w:t>
      </w:r>
      <w:r w:rsidR="00BB14D0" w:rsidRPr="00BB14D0">
        <w:rPr>
          <w:rFonts w:ascii="Times New Roman" w:hAnsi="Times New Roman"/>
          <w:sz w:val="20"/>
          <w:szCs w:val="20"/>
        </w:rPr>
        <w:t>Nowe Czyżyny, Nowe</w:t>
      </w:r>
      <w:r w:rsidR="006B5C37">
        <w:rPr>
          <w:rFonts w:ascii="Times New Roman" w:hAnsi="Times New Roman"/>
          <w:sz w:val="20"/>
          <w:szCs w:val="20"/>
        </w:rPr>
        <w:t xml:space="preserve"> Bielawy</w:t>
      </w:r>
      <w:r w:rsidR="000476CE">
        <w:rPr>
          <w:rFonts w:ascii="Times New Roman" w:hAnsi="Times New Roman"/>
          <w:sz w:val="20"/>
          <w:szCs w:val="20"/>
        </w:rPr>
        <w:t>, Nowa Górna</w:t>
      </w:r>
    </w:p>
    <w:p w14:paraId="4035FF08" w14:textId="77777777" w:rsidR="001B3440" w:rsidRPr="00BB14D0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CEDD6DA" w14:textId="77777777" w:rsidR="00551FC3" w:rsidRPr="00BB14D0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BB14D0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CC4E5D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CC4E5D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CC4E5D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CC4E5D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CC4E5D">
        <w:rPr>
          <w:rFonts w:ascii="Times New Roman" w:hAnsi="Times New Roman" w:cs="Times New Roman"/>
          <w:sz w:val="20"/>
        </w:rPr>
        <w:t xml:space="preserve"> Poland/Guarana PR</w:t>
      </w:r>
    </w:p>
    <w:p w14:paraId="13F21D10" w14:textId="77777777" w:rsidR="001D1FEE" w:rsidRPr="00CC4E5D" w:rsidRDefault="001D1FEE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4A51A523" w14:textId="781C7DBC" w:rsidR="001D1FEE" w:rsidRPr="001D1FEE" w:rsidRDefault="001D1FEE" w:rsidP="005423CE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to spółka założona w 2015 roku przez międzynarodową grupę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Somerston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skupiająca się na inw</w:t>
      </w:r>
      <w:r>
        <w:rPr>
          <w:rFonts w:ascii="Times New Roman" w:hAnsi="Times New Roman" w:cs="Times New Roman"/>
          <w:sz w:val="16"/>
          <w:szCs w:val="16"/>
        </w:rPr>
        <w:t>estowaniu w centra handlowe typu</w:t>
      </w:r>
      <w:r w:rsidRPr="001D1FEE">
        <w:rPr>
          <w:rFonts w:ascii="Times New Roman" w:hAnsi="Times New Roman" w:cs="Times New Roman"/>
          <w:sz w:val="16"/>
          <w:szCs w:val="16"/>
        </w:rPr>
        <w:t xml:space="preserve"> ‘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convenience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’ oraz parki handlowe.  Obecnie w portfolio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zlokalizowane w Grodzisku Mazowieckim, Włocławku i Namysłowie. Więcej informacji: newbridge.com.pl</w:t>
      </w:r>
    </w:p>
    <w:p w14:paraId="3C9C100A" w14:textId="77777777" w:rsidR="00532B35" w:rsidRPr="00E12C4D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78107D25" w:rsidR="00EB6754" w:rsidRPr="00C23E39" w:rsidRDefault="00EB6754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E147BE" w14:textId="77777777" w:rsidR="00F74E92" w:rsidRDefault="00F74E92" w:rsidP="002723AC">
      <w:pPr>
        <w:spacing w:after="0" w:line="240" w:lineRule="auto"/>
      </w:pPr>
      <w:r>
        <w:separator/>
      </w:r>
    </w:p>
  </w:endnote>
  <w:endnote w:type="continuationSeparator" w:id="0">
    <w:p w14:paraId="1FA3E9CA" w14:textId="77777777" w:rsidR="00F74E92" w:rsidRDefault="00F74E92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E05B65" w14:textId="77777777" w:rsidR="00F74E92" w:rsidRDefault="00F74E92" w:rsidP="002723AC">
      <w:pPr>
        <w:spacing w:after="0" w:line="240" w:lineRule="auto"/>
      </w:pPr>
      <w:r>
        <w:separator/>
      </w:r>
    </w:p>
  </w:footnote>
  <w:footnote w:type="continuationSeparator" w:id="0">
    <w:p w14:paraId="6B0F43DA" w14:textId="77777777" w:rsidR="00F74E92" w:rsidRDefault="00F74E92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2128D"/>
    <w:rsid w:val="00025F40"/>
    <w:rsid w:val="00025F88"/>
    <w:rsid w:val="0003332C"/>
    <w:rsid w:val="000369DF"/>
    <w:rsid w:val="00044A8E"/>
    <w:rsid w:val="000476CE"/>
    <w:rsid w:val="00054FAA"/>
    <w:rsid w:val="000572AD"/>
    <w:rsid w:val="00063B6F"/>
    <w:rsid w:val="0007596E"/>
    <w:rsid w:val="000817CD"/>
    <w:rsid w:val="00083514"/>
    <w:rsid w:val="00085BB1"/>
    <w:rsid w:val="00086B01"/>
    <w:rsid w:val="00087875"/>
    <w:rsid w:val="000A2BDD"/>
    <w:rsid w:val="000B77AE"/>
    <w:rsid w:val="000C09C7"/>
    <w:rsid w:val="000C1F80"/>
    <w:rsid w:val="000C3A58"/>
    <w:rsid w:val="000C74CA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040A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2F4EC2"/>
    <w:rsid w:val="0030145E"/>
    <w:rsid w:val="00304DD8"/>
    <w:rsid w:val="00322335"/>
    <w:rsid w:val="00333DA7"/>
    <w:rsid w:val="00337C9F"/>
    <w:rsid w:val="00342A3B"/>
    <w:rsid w:val="00345409"/>
    <w:rsid w:val="0037497B"/>
    <w:rsid w:val="00380E77"/>
    <w:rsid w:val="0039212D"/>
    <w:rsid w:val="003966E7"/>
    <w:rsid w:val="003A607E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0C9"/>
    <w:rsid w:val="004B24B8"/>
    <w:rsid w:val="004D239F"/>
    <w:rsid w:val="004D36F4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C282B"/>
    <w:rsid w:val="008C3F87"/>
    <w:rsid w:val="008C7C84"/>
    <w:rsid w:val="008D35A2"/>
    <w:rsid w:val="008E5BB6"/>
    <w:rsid w:val="008E5C4B"/>
    <w:rsid w:val="008F0B0C"/>
    <w:rsid w:val="008F2449"/>
    <w:rsid w:val="008F28AC"/>
    <w:rsid w:val="008F74FA"/>
    <w:rsid w:val="00921ACA"/>
    <w:rsid w:val="00933DC6"/>
    <w:rsid w:val="00935E1A"/>
    <w:rsid w:val="00940635"/>
    <w:rsid w:val="009601EF"/>
    <w:rsid w:val="009625AB"/>
    <w:rsid w:val="00966904"/>
    <w:rsid w:val="00972FBF"/>
    <w:rsid w:val="00973012"/>
    <w:rsid w:val="0098502E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19"/>
    <w:rsid w:val="00A375AE"/>
    <w:rsid w:val="00A40582"/>
    <w:rsid w:val="00A431C6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1F4D"/>
    <w:rsid w:val="00B873E1"/>
    <w:rsid w:val="00BA0F63"/>
    <w:rsid w:val="00BB14D0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302BC"/>
    <w:rsid w:val="00C31FD7"/>
    <w:rsid w:val="00C42018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4E5D"/>
    <w:rsid w:val="00CC7653"/>
    <w:rsid w:val="00D0239D"/>
    <w:rsid w:val="00D02598"/>
    <w:rsid w:val="00D077C5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16EAB"/>
    <w:rsid w:val="00F26DAC"/>
    <w:rsid w:val="00F31E4C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485</Words>
  <Characters>2913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282</cp:revision>
  <dcterms:created xsi:type="dcterms:W3CDTF">2019-08-23T07:16:00Z</dcterms:created>
  <dcterms:modified xsi:type="dcterms:W3CDTF">2021-02-26T08:49:00Z</dcterms:modified>
</cp:coreProperties>
</file>