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063BD68" w:rsidR="002723AC" w:rsidRPr="00C23E39" w:rsidRDefault="0007596E" w:rsidP="00BB5E79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2F4EC2">
        <w:rPr>
          <w:rFonts w:ascii="Times New Roman" w:hAnsi="Times New Roman" w:cs="Times New Roman"/>
          <w:b/>
          <w:sz w:val="18"/>
        </w:rPr>
        <w:t>22</w:t>
      </w:r>
      <w:r w:rsidR="00E75F1C">
        <w:rPr>
          <w:rFonts w:ascii="Times New Roman" w:hAnsi="Times New Roman" w:cs="Times New Roman"/>
          <w:b/>
          <w:sz w:val="18"/>
        </w:rPr>
        <w:t>-02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250DC7" w:rsidRDefault="00FE3213" w:rsidP="00BB5E79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250DC7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250DC7">
        <w:rPr>
          <w:rFonts w:ascii="Times New Roman" w:hAnsi="Times New Roman" w:cs="Times New Roman"/>
          <w:sz w:val="18"/>
        </w:rPr>
        <w:t>i</w:t>
      </w:r>
      <w:r w:rsidRPr="00250DC7">
        <w:rPr>
          <w:rFonts w:ascii="Times New Roman" w:hAnsi="Times New Roman" w:cs="Times New Roman"/>
          <w:sz w:val="18"/>
        </w:rPr>
        <w:t>zabela.jedruch</w:t>
      </w:r>
      <w:r w:rsidR="002723AC" w:rsidRPr="00250DC7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250DC7" w:rsidRDefault="00FE3213" w:rsidP="00BB5E79">
      <w:pPr>
        <w:pStyle w:val="Bezodstpw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27FE57B" w14:textId="77777777" w:rsidR="00250DC7" w:rsidRPr="00250DC7" w:rsidRDefault="00250DC7" w:rsidP="00250DC7">
      <w:pPr>
        <w:pStyle w:val="Bezodstpw"/>
        <w:jc w:val="both"/>
        <w:rPr>
          <w:rFonts w:ascii="Times New Roman" w:hAnsi="Times New Roman"/>
          <w:b/>
          <w:sz w:val="32"/>
          <w:szCs w:val="32"/>
        </w:rPr>
      </w:pPr>
      <w:r w:rsidRPr="00250DC7">
        <w:rPr>
          <w:rFonts w:ascii="Times New Roman" w:hAnsi="Times New Roman"/>
          <w:b/>
          <w:sz w:val="32"/>
          <w:szCs w:val="32"/>
        </w:rPr>
        <w:t xml:space="preserve">Kluczowi najemcy </w:t>
      </w:r>
      <w:proofErr w:type="spellStart"/>
      <w:r w:rsidRPr="00250DC7">
        <w:rPr>
          <w:rFonts w:ascii="Times New Roman" w:hAnsi="Times New Roman"/>
          <w:b/>
          <w:sz w:val="32"/>
          <w:szCs w:val="32"/>
        </w:rPr>
        <w:t>retail</w:t>
      </w:r>
      <w:proofErr w:type="spellEnd"/>
      <w:r w:rsidRPr="00250DC7">
        <w:rPr>
          <w:rFonts w:ascii="Times New Roman" w:hAnsi="Times New Roman"/>
          <w:b/>
          <w:sz w:val="32"/>
          <w:szCs w:val="32"/>
        </w:rPr>
        <w:t xml:space="preserve"> parków </w:t>
      </w:r>
      <w:proofErr w:type="spellStart"/>
      <w:r w:rsidRPr="00250DC7">
        <w:rPr>
          <w:rFonts w:ascii="Times New Roman" w:hAnsi="Times New Roman"/>
          <w:b/>
          <w:sz w:val="32"/>
          <w:szCs w:val="32"/>
        </w:rPr>
        <w:t>Newbridge</w:t>
      </w:r>
      <w:proofErr w:type="spellEnd"/>
      <w:r w:rsidRPr="00250DC7">
        <w:rPr>
          <w:rFonts w:ascii="Times New Roman" w:hAnsi="Times New Roman"/>
          <w:b/>
          <w:sz w:val="32"/>
          <w:szCs w:val="32"/>
        </w:rPr>
        <w:t xml:space="preserve"> przedłużają umowy</w:t>
      </w:r>
    </w:p>
    <w:p w14:paraId="4F934838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954B908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Pomimo wyzwań, z jakimi mierzy się rynek handlowy, znane marki stawiają na dalszą współpracę z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. Ostatnie tygodnie przynoszą w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 parkach inwestora prolongaty umów najmu obejmujące łącznie ponad 2,5 tys. m kw. GLA. </w:t>
      </w:r>
    </w:p>
    <w:p w14:paraId="124B25CD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7F5DE4C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Wśród marek, które zdecydowały się na taki krok znaleźć można te najpopularniejsze dziś na polskim rynku.</w:t>
      </w:r>
    </w:p>
    <w:p w14:paraId="5E5DE59F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33EE0B3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 tak w Parku Handlowym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 Grodzisku Mazowieckim w ofercie wciąż dostępny będzie sklep CCC, drogeria Rossmann oraz biuro podróży Travel Planet. </w:t>
      </w:r>
    </w:p>
    <w:p w14:paraId="2E3F07FF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43229ABA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 kolei w Parku Handlowym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we Włocławku na przedłużenie umowy zdecydowały się aż 2 popularne marki obuwnicze - CCC oraz Deichmann. </w:t>
      </w:r>
    </w:p>
    <w:p w14:paraId="2196AA4A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C0F8EC2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CCC przez kolejne lata obecne będzie także w ofercie Parku Handlowego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 Namysłowie. W sumie polska sieć sklepów obuwniczych przedłużyła z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umowy najmu obejmujące blisko 1,7 tys. m kw.</w:t>
      </w:r>
    </w:p>
    <w:p w14:paraId="6BE472F4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61AE99C" w14:textId="77777777" w:rsidR="00250DC7" w:rsidRDefault="00250DC7" w:rsidP="00250DC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Pandemia pokazała jak duży jest dziś potencjał </w:t>
      </w:r>
      <w:proofErr w:type="spellStart"/>
      <w:r>
        <w:rPr>
          <w:rFonts w:ascii="Times New Roman" w:hAnsi="Times New Roman"/>
          <w:i/>
          <w:sz w:val="20"/>
          <w:szCs w:val="20"/>
        </w:rPr>
        <w:t>retail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parków w Polsce. Format ten nie tylko zdecydowanie lepiej radzi sobie w dobie COVID-19, ale także mimo rynkowych zawirowań wciąż dynamicznie rozwija się, zachęcając marki do inwestycji w najem </w:t>
      </w:r>
      <w:r>
        <w:rPr>
          <w:rFonts w:ascii="Times New Roman" w:hAnsi="Times New Roman"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 xml:space="preserve">mówi Karolina </w:t>
      </w:r>
      <w:proofErr w:type="spellStart"/>
      <w:r>
        <w:rPr>
          <w:rFonts w:ascii="Times New Roman" w:hAnsi="Times New Roman"/>
          <w:b/>
          <w:sz w:val="20"/>
          <w:szCs w:val="20"/>
        </w:rPr>
        <w:t>Nitowska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, leasing manager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>.</w:t>
      </w:r>
    </w:p>
    <w:p w14:paraId="4180DFF6" w14:textId="77777777" w:rsidR="00250DC7" w:rsidRDefault="00250DC7" w:rsidP="00250DC7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081CB57D" w14:textId="77777777" w:rsidR="00250DC7" w:rsidRDefault="00250DC7" w:rsidP="00250DC7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Sprzyja temu chociażby wyraźna zmiana </w:t>
      </w:r>
      <w:proofErr w:type="spellStart"/>
      <w:r>
        <w:rPr>
          <w:rFonts w:ascii="Times New Roman" w:hAnsi="Times New Roman"/>
          <w:i/>
          <w:sz w:val="20"/>
          <w:szCs w:val="20"/>
        </w:rPr>
        <w:t>zachowań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konsumentów, którzy coraz chętniej na swoje codzienne zakupy wybierają mniejsze obiekty handlowe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położone w najbliższym sąsiedztwie. To sprawia, że parki handlowe postrzegane są jako przyszłościowa i atrakcyjna biznesowo lokalizacja. Ten potencjał dostrzegają także nasi wieloletni partnerzy </w:t>
      </w:r>
      <w:r>
        <w:rPr>
          <w:rFonts w:ascii="Times New Roman" w:hAnsi="Times New Roman"/>
          <w:sz w:val="20"/>
          <w:szCs w:val="20"/>
        </w:rPr>
        <w:t xml:space="preserve"> - dodaje.</w:t>
      </w:r>
    </w:p>
    <w:p w14:paraId="506B3D13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D12D260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Ale nie tylko pandemia skłania marki do prolongat. Wszystkie trzy parki handlowe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mają ugruntowaną pozycję na lokalnych rynkach. Co więcej, działają na rynkach o stosunkowo niskim nasyceniu powierzchnią handlową, co zapewnia najemcom mniejszą konkurencję.</w:t>
      </w:r>
    </w:p>
    <w:p w14:paraId="161D89DD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63EA6B9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Nie bez znaczenia jest także rozwój </w:t>
      </w:r>
      <w:proofErr w:type="spellStart"/>
      <w:r>
        <w:rPr>
          <w:rFonts w:ascii="Times New Roman" w:hAnsi="Times New Roman"/>
          <w:sz w:val="20"/>
          <w:szCs w:val="20"/>
        </w:rPr>
        <w:t>tenant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mix'u</w:t>
      </w:r>
      <w:proofErr w:type="spellEnd"/>
      <w:r>
        <w:rPr>
          <w:rFonts w:ascii="Times New Roman" w:hAnsi="Times New Roman"/>
          <w:sz w:val="20"/>
          <w:szCs w:val="20"/>
        </w:rPr>
        <w:t xml:space="preserve"> parków handlowych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w ostatnich latach. Marki lokujące tu swoje sklepy działają w otoczeniu doskonale znanych </w:t>
      </w:r>
      <w:proofErr w:type="spellStart"/>
      <w:r>
        <w:rPr>
          <w:rFonts w:ascii="Times New Roman" w:hAnsi="Times New Roman"/>
          <w:sz w:val="20"/>
          <w:szCs w:val="20"/>
        </w:rPr>
        <w:t>brandów</w:t>
      </w:r>
      <w:proofErr w:type="spellEnd"/>
      <w:r>
        <w:rPr>
          <w:rFonts w:ascii="Times New Roman" w:hAnsi="Times New Roman"/>
          <w:sz w:val="20"/>
          <w:szCs w:val="20"/>
        </w:rPr>
        <w:t xml:space="preserve"> z segmentów m.in. elektroniki, zdrowia i urody czy </w:t>
      </w:r>
      <w:proofErr w:type="spellStart"/>
      <w:r>
        <w:rPr>
          <w:rFonts w:ascii="Times New Roman" w:hAnsi="Times New Roman"/>
          <w:sz w:val="20"/>
          <w:szCs w:val="20"/>
        </w:rPr>
        <w:t>fashion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2C8ECCF7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D59FDB0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Wśród kluczowych najemców parków handlowych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 można znaleźć m.in. supermarket SPAR, Media </w:t>
      </w:r>
      <w:proofErr w:type="spellStart"/>
      <w:r>
        <w:rPr>
          <w:rFonts w:ascii="Times New Roman" w:hAnsi="Times New Roman"/>
          <w:sz w:val="20"/>
          <w:szCs w:val="20"/>
        </w:rPr>
        <w:t>Expert</w:t>
      </w:r>
      <w:proofErr w:type="spellEnd"/>
      <w:r>
        <w:rPr>
          <w:rFonts w:ascii="Times New Roman" w:hAnsi="Times New Roman"/>
          <w:sz w:val="20"/>
          <w:szCs w:val="20"/>
        </w:rPr>
        <w:t xml:space="preserve">,  RTV Euro AGD, </w:t>
      </w:r>
      <w:proofErr w:type="spellStart"/>
      <w:r>
        <w:rPr>
          <w:rFonts w:ascii="Times New Roman" w:hAnsi="Times New Roman"/>
          <w:sz w:val="20"/>
          <w:szCs w:val="20"/>
        </w:rPr>
        <w:t>Pepco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KiK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sz w:val="20"/>
          <w:szCs w:val="20"/>
        </w:rPr>
        <w:t>Martes</w:t>
      </w:r>
      <w:proofErr w:type="spellEnd"/>
      <w:r>
        <w:rPr>
          <w:rFonts w:ascii="Times New Roman" w:hAnsi="Times New Roman"/>
          <w:sz w:val="20"/>
          <w:szCs w:val="20"/>
        </w:rPr>
        <w:t xml:space="preserve"> Sport, Rossmann, Top </w:t>
      </w:r>
      <w:proofErr w:type="spellStart"/>
      <w:r>
        <w:rPr>
          <w:rFonts w:ascii="Times New Roman" w:hAnsi="Times New Roman"/>
          <w:sz w:val="20"/>
          <w:szCs w:val="20"/>
        </w:rPr>
        <w:t>Secret</w:t>
      </w:r>
      <w:proofErr w:type="spellEnd"/>
      <w:r>
        <w:rPr>
          <w:rFonts w:ascii="Times New Roman" w:hAnsi="Times New Roman"/>
          <w:sz w:val="20"/>
          <w:szCs w:val="20"/>
        </w:rPr>
        <w:t xml:space="preserve">, Takko </w:t>
      </w:r>
      <w:proofErr w:type="spellStart"/>
      <w:r>
        <w:rPr>
          <w:rFonts w:ascii="Times New Roman" w:hAnsi="Times New Roman"/>
          <w:sz w:val="20"/>
          <w:szCs w:val="20"/>
        </w:rPr>
        <w:t>Fashion</w:t>
      </w:r>
      <w:proofErr w:type="spellEnd"/>
      <w:r>
        <w:rPr>
          <w:rFonts w:ascii="Times New Roman" w:hAnsi="Times New Roman"/>
          <w:sz w:val="20"/>
          <w:szCs w:val="20"/>
        </w:rPr>
        <w:t>, CCC i Deichmann. Wszystkie trzy obiekty są także dziś w 100 proc. skomercjalizowane.</w:t>
      </w:r>
    </w:p>
    <w:p w14:paraId="0066409A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DC90A91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Obecność znanych marek ma znaczący wpływ na </w:t>
      </w:r>
      <w:proofErr w:type="spellStart"/>
      <w:r>
        <w:rPr>
          <w:rFonts w:ascii="Times New Roman" w:hAnsi="Times New Roman"/>
          <w:i/>
          <w:sz w:val="20"/>
          <w:szCs w:val="20"/>
        </w:rPr>
        <w:t>catchment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i/>
          <w:sz w:val="20"/>
          <w:szCs w:val="20"/>
        </w:rPr>
        <w:t>retail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parków. Fakt, że obiekty wypełnione są rozpoznawalnymi, ale i unikalnymi lokalnie </w:t>
      </w:r>
      <w:proofErr w:type="spellStart"/>
      <w:r>
        <w:rPr>
          <w:rFonts w:ascii="Times New Roman" w:hAnsi="Times New Roman"/>
          <w:i/>
          <w:sz w:val="20"/>
          <w:szCs w:val="20"/>
        </w:rPr>
        <w:t>brandami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sprawia, że centra przyciągają nie tylko klientów ze swojego najbliższego sąsiedztwa, ale także z miast ościennych. Tworzy to najemcom atrakcyjny i rozwojowy rynek</w:t>
      </w:r>
      <w:r>
        <w:rPr>
          <w:rFonts w:ascii="Times New Roman" w:hAnsi="Times New Roman"/>
          <w:sz w:val="20"/>
          <w:szCs w:val="20"/>
        </w:rPr>
        <w:t xml:space="preserve"> - mówi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14:paraId="54A7467A" w14:textId="77777777" w:rsidR="00250DC7" w:rsidRDefault="00250DC7" w:rsidP="00250DC7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0D65EBF7" w14:textId="4397D065" w:rsidR="002F4EC2" w:rsidRPr="00250DC7" w:rsidRDefault="00250DC7" w:rsidP="00250DC7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podkreśla przedstawicielka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, ostatnie decyzje najemców nie tylko umacniają ofertę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 parków, ale przede wszystkim zabezpieczają ją w tym trudnym dla rynku momencie. </w:t>
      </w:r>
      <w:r>
        <w:rPr>
          <w:rFonts w:ascii="Times New Roman" w:hAnsi="Times New Roman"/>
          <w:i/>
          <w:sz w:val="20"/>
          <w:szCs w:val="20"/>
        </w:rPr>
        <w:t xml:space="preserve">- Prolongaty na tak dużą skalę, z tak wieloma najemcami, pokazują jak dużym zaufaniem w zmieniającej się rzeczywistości handlowej cieszą się obiekty </w:t>
      </w:r>
      <w:proofErr w:type="spellStart"/>
      <w:r>
        <w:rPr>
          <w:rFonts w:ascii="Times New Roman" w:hAnsi="Times New Roman"/>
          <w:i/>
          <w:sz w:val="20"/>
          <w:szCs w:val="20"/>
        </w:rPr>
        <w:t>Newbridge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. To dla nas dobra prognoza na przyszłość - </w:t>
      </w:r>
      <w:r>
        <w:rPr>
          <w:rFonts w:ascii="Times New Roman" w:hAnsi="Times New Roman"/>
          <w:sz w:val="20"/>
          <w:szCs w:val="20"/>
        </w:rPr>
        <w:t xml:space="preserve">mówi </w:t>
      </w:r>
      <w:proofErr w:type="spellStart"/>
      <w:r>
        <w:rPr>
          <w:rFonts w:ascii="Times New Roman" w:hAnsi="Times New Roman"/>
          <w:sz w:val="20"/>
          <w:szCs w:val="20"/>
        </w:rPr>
        <w:t>Nitowska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</w:p>
    <w:p w14:paraId="78DDCC3E" w14:textId="77777777" w:rsidR="002F4EC2" w:rsidRDefault="002F4EC2" w:rsidP="00BE39D3">
      <w:pPr>
        <w:jc w:val="both"/>
        <w:rPr>
          <w:rFonts w:ascii="Times New Roman" w:hAnsi="Times New Roman"/>
        </w:rPr>
      </w:pPr>
      <w:bookmarkStart w:id="0" w:name="_GoBack"/>
      <w:bookmarkEnd w:id="0"/>
    </w:p>
    <w:p w14:paraId="2DB9983B" w14:textId="77777777" w:rsidR="00696A6D" w:rsidRPr="00E12C4D" w:rsidRDefault="00696A6D" w:rsidP="00BB5E79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29CA41FB" w:rsidR="001B3440" w:rsidRPr="00250DC7" w:rsidRDefault="00E31D61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250DC7">
        <w:rPr>
          <w:rFonts w:ascii="Times New Roman" w:hAnsi="Times New Roman"/>
          <w:sz w:val="20"/>
          <w:szCs w:val="20"/>
        </w:rPr>
        <w:t>Tagi</w:t>
      </w:r>
      <w:proofErr w:type="spellEnd"/>
      <w:r w:rsidRPr="00250DC7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250DC7">
        <w:rPr>
          <w:rFonts w:ascii="Times New Roman" w:hAnsi="Times New Roman"/>
          <w:sz w:val="20"/>
          <w:szCs w:val="20"/>
        </w:rPr>
        <w:t>Newbridge</w:t>
      </w:r>
      <w:proofErr w:type="spellEnd"/>
      <w:r w:rsidR="00BE39D3" w:rsidRPr="00250DC7">
        <w:rPr>
          <w:rFonts w:ascii="Times New Roman" w:hAnsi="Times New Roman"/>
          <w:sz w:val="20"/>
          <w:szCs w:val="20"/>
        </w:rPr>
        <w:t xml:space="preserve"> </w:t>
      </w:r>
    </w:p>
    <w:p w14:paraId="4035FF08" w14:textId="77777777" w:rsidR="001B3440" w:rsidRPr="00250DC7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250DC7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250DC7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250DC7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250DC7">
        <w:rPr>
          <w:rFonts w:ascii="Times New Roman" w:hAnsi="Times New Roman" w:cs="Times New Roman"/>
          <w:b/>
          <w:i/>
          <w:sz w:val="20"/>
        </w:rPr>
        <w:lastRenderedPageBreak/>
        <w:t>Źródło</w:t>
      </w:r>
      <w:r w:rsidR="00EB6754" w:rsidRPr="00250DC7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250DC7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250DC7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Pr="00250DC7" w:rsidRDefault="001D1FEE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5423CE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F8EEFB" w14:textId="77777777" w:rsidR="00A8118B" w:rsidRDefault="00A8118B" w:rsidP="002723AC">
      <w:pPr>
        <w:spacing w:after="0" w:line="240" w:lineRule="auto"/>
      </w:pPr>
      <w:r>
        <w:separator/>
      </w:r>
    </w:p>
  </w:endnote>
  <w:endnote w:type="continuationSeparator" w:id="0">
    <w:p w14:paraId="11CBF82B" w14:textId="77777777" w:rsidR="00A8118B" w:rsidRDefault="00A8118B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542D18" w14:textId="77777777" w:rsidR="00A8118B" w:rsidRDefault="00A8118B" w:rsidP="002723AC">
      <w:pPr>
        <w:spacing w:after="0" w:line="240" w:lineRule="auto"/>
      </w:pPr>
      <w:r>
        <w:separator/>
      </w:r>
    </w:p>
  </w:footnote>
  <w:footnote w:type="continuationSeparator" w:id="0">
    <w:p w14:paraId="1DA8D206" w14:textId="77777777" w:rsidR="00A8118B" w:rsidRDefault="00A8118B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0DC7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118B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26DAC"/>
    <w:rsid w:val="00F31E4C"/>
    <w:rsid w:val="00F37BBA"/>
    <w:rsid w:val="00F45C61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537</Words>
  <Characters>3225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273</cp:revision>
  <dcterms:created xsi:type="dcterms:W3CDTF">2019-08-23T07:16:00Z</dcterms:created>
  <dcterms:modified xsi:type="dcterms:W3CDTF">2021-02-22T11:13:00Z</dcterms:modified>
</cp:coreProperties>
</file>