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4AABE281" w:rsidR="002723AC" w:rsidRPr="00C23E39" w:rsidRDefault="0007596E" w:rsidP="00A7030D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876DD3">
        <w:rPr>
          <w:rFonts w:ascii="Times New Roman" w:hAnsi="Times New Roman" w:cs="Times New Roman"/>
          <w:b/>
          <w:sz w:val="18"/>
        </w:rPr>
        <w:t>24</w:t>
      </w:r>
      <w:r w:rsidR="00437003">
        <w:rPr>
          <w:rFonts w:ascii="Times New Roman" w:hAnsi="Times New Roman" w:cs="Times New Roman"/>
          <w:b/>
          <w:sz w:val="18"/>
        </w:rPr>
        <w:t>-09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FA7FC9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>Izabela Jędruch</w:t>
      </w:r>
      <w:r w:rsidR="002723AC" w:rsidRPr="00FA7FC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58728D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58728D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58728D">
        <w:rPr>
          <w:rFonts w:ascii="Times New Roman" w:hAnsi="Times New Roman" w:cs="Times New Roman"/>
          <w:sz w:val="18"/>
        </w:rPr>
        <w:t>i</w:t>
      </w:r>
      <w:r w:rsidRPr="0058728D">
        <w:rPr>
          <w:rFonts w:ascii="Times New Roman" w:hAnsi="Times New Roman" w:cs="Times New Roman"/>
          <w:sz w:val="18"/>
        </w:rPr>
        <w:t>zabela.jedruch</w:t>
      </w:r>
      <w:r w:rsidR="002723AC" w:rsidRPr="0058728D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58728D" w:rsidRDefault="00FE3213" w:rsidP="00A7030D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74004B65" w14:textId="77777777" w:rsidR="000F7230" w:rsidRPr="0058728D" w:rsidRDefault="000F7230" w:rsidP="000F7230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14:paraId="21BF0985" w14:textId="77777777" w:rsidR="00F9612E" w:rsidRDefault="00F9612E" w:rsidP="00F9612E">
      <w:pPr>
        <w:pStyle w:val="Bezodstpw"/>
        <w:jc w:val="both"/>
        <w:rPr>
          <w:rFonts w:ascii="Times New Roman" w:hAnsi="Times New Roman"/>
          <w:b/>
          <w:sz w:val="30"/>
          <w:szCs w:val="20"/>
        </w:rPr>
      </w:pPr>
      <w:r>
        <w:rPr>
          <w:rFonts w:ascii="Times New Roman" w:hAnsi="Times New Roman"/>
          <w:b/>
          <w:sz w:val="30"/>
          <w:szCs w:val="20"/>
        </w:rPr>
        <w:t xml:space="preserve">Komentarz: Na wzroście e-commerce skorzystają centra </w:t>
      </w:r>
      <w:proofErr w:type="spellStart"/>
      <w:r>
        <w:rPr>
          <w:rFonts w:ascii="Times New Roman" w:hAnsi="Times New Roman"/>
          <w:b/>
          <w:sz w:val="30"/>
          <w:szCs w:val="20"/>
        </w:rPr>
        <w:t>convenience</w:t>
      </w:r>
      <w:proofErr w:type="spellEnd"/>
      <w:r>
        <w:rPr>
          <w:rFonts w:ascii="Times New Roman" w:hAnsi="Times New Roman"/>
          <w:b/>
          <w:sz w:val="30"/>
          <w:szCs w:val="20"/>
        </w:rPr>
        <w:t>?</w:t>
      </w:r>
    </w:p>
    <w:p w14:paraId="38DD043D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1F87899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Konsument </w:t>
      </w:r>
      <w:proofErr w:type="spellStart"/>
      <w:r>
        <w:rPr>
          <w:rFonts w:ascii="Times New Roman" w:hAnsi="Times New Roman"/>
          <w:sz w:val="24"/>
          <w:szCs w:val="20"/>
        </w:rPr>
        <w:t>omnichannelowy</w:t>
      </w:r>
      <w:proofErr w:type="spellEnd"/>
      <w:r>
        <w:rPr>
          <w:rFonts w:ascii="Times New Roman" w:hAnsi="Times New Roman"/>
          <w:sz w:val="24"/>
          <w:szCs w:val="20"/>
        </w:rPr>
        <w:t xml:space="preserve"> urósł w siłę w czasie pandemii, umacniając sprzedaż online. Paradoksalnie jednak jego większa rola na rynku może pomóc rosnącemu w siłę segmentowi </w:t>
      </w:r>
      <w:proofErr w:type="spellStart"/>
      <w:r>
        <w:rPr>
          <w:rFonts w:ascii="Times New Roman" w:hAnsi="Times New Roman"/>
          <w:sz w:val="24"/>
          <w:szCs w:val="20"/>
        </w:rPr>
        <w:t>convenience</w:t>
      </w:r>
      <w:proofErr w:type="spellEnd"/>
      <w:r>
        <w:rPr>
          <w:rFonts w:ascii="Times New Roman" w:hAnsi="Times New Roman"/>
          <w:sz w:val="24"/>
          <w:szCs w:val="20"/>
        </w:rPr>
        <w:t>.</w:t>
      </w:r>
    </w:p>
    <w:p w14:paraId="0437304C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4447540" w14:textId="77777777" w:rsidR="00F9612E" w:rsidRDefault="00F9612E" w:rsidP="00F9612E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Klient z online kupuje też w </w:t>
      </w:r>
      <w:proofErr w:type="spellStart"/>
      <w:r>
        <w:rPr>
          <w:rFonts w:ascii="Times New Roman" w:hAnsi="Times New Roman"/>
          <w:b/>
          <w:sz w:val="20"/>
          <w:szCs w:val="20"/>
        </w:rPr>
        <w:t>convenience</w:t>
      </w:r>
      <w:proofErr w:type="spellEnd"/>
      <w:r>
        <w:rPr>
          <w:rFonts w:ascii="Times New Roman" w:hAnsi="Times New Roman"/>
          <w:b/>
          <w:sz w:val="20"/>
          <w:szCs w:val="20"/>
        </w:rPr>
        <w:t>?</w:t>
      </w:r>
    </w:p>
    <w:p w14:paraId="61530771" w14:textId="15B53DBD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Pandemia przyspieszyła rozwój handlu online w Polsce. Według GUS, tylko w kwietniu br. udział sprzedaży detalicznej w </w:t>
      </w:r>
      <w:proofErr w:type="spellStart"/>
      <w:r>
        <w:rPr>
          <w:rFonts w:ascii="Times New Roman" w:hAnsi="Times New Roman"/>
          <w:sz w:val="20"/>
          <w:szCs w:val="20"/>
        </w:rPr>
        <w:t>internecie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r w:rsidR="00146E15">
        <w:rPr>
          <w:rFonts w:ascii="Times New Roman" w:hAnsi="Times New Roman"/>
          <w:sz w:val="20"/>
          <w:szCs w:val="20"/>
        </w:rPr>
        <w:t>wzrósł do poziomu aż 11,9 proc.</w:t>
      </w:r>
      <w:r>
        <w:rPr>
          <w:rFonts w:ascii="Times New Roman" w:hAnsi="Times New Roman"/>
          <w:sz w:val="20"/>
          <w:szCs w:val="20"/>
        </w:rPr>
        <w:t xml:space="preserve"> o blisko 4 punkty procentowe w stosunku do marca br. I chociaż od zniesienia </w:t>
      </w:r>
      <w:proofErr w:type="spellStart"/>
      <w:r>
        <w:rPr>
          <w:rFonts w:ascii="Times New Roman" w:hAnsi="Times New Roman"/>
          <w:sz w:val="20"/>
          <w:szCs w:val="20"/>
        </w:rPr>
        <w:t>lockdown'u</w:t>
      </w:r>
      <w:proofErr w:type="spellEnd"/>
      <w:r>
        <w:rPr>
          <w:rFonts w:ascii="Times New Roman" w:hAnsi="Times New Roman"/>
          <w:sz w:val="20"/>
          <w:szCs w:val="20"/>
        </w:rPr>
        <w:t xml:space="preserve"> stopniał on do 6,5 proc. w lipcu, to wciąż ten kanał szybko się rozwija.</w:t>
      </w:r>
    </w:p>
    <w:p w14:paraId="4951692B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33C7EC5" w14:textId="6C052574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Coraz lepiej radzą sobie także odporne na kryzys centra z segmentu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>, które zdają się zyskiwać w ostatnich miesiącach m.in. dzięki spadkom w e-co</w:t>
      </w:r>
      <w:r w:rsidR="00146E15">
        <w:rPr>
          <w:rFonts w:ascii="Times New Roman" w:hAnsi="Times New Roman"/>
          <w:sz w:val="20"/>
          <w:szCs w:val="20"/>
        </w:rPr>
        <w:t xml:space="preserve">mmerce, zwłaszcza w segmentach </w:t>
      </w:r>
      <w:r>
        <w:rPr>
          <w:rFonts w:ascii="Times New Roman" w:hAnsi="Times New Roman"/>
          <w:sz w:val="20"/>
          <w:szCs w:val="20"/>
        </w:rPr>
        <w:t xml:space="preserve">prasy i książek, sklepów specjalistycznych, wyposażenia wnętrz oraz RTV i AGD, a także mody. </w:t>
      </w:r>
    </w:p>
    <w:p w14:paraId="52D837D6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BE2F8A3" w14:textId="7FBB1C10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Wydatki w centrach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rosną dziś dokładnie w tych samych branżach, w których e-commerce notuje spadki. Na przykładzie naszych centrów widzimy, że ostatnie miesiące przynoszą wyraźny wzrost wydatków Polaków chociażby w sklepach z </w:t>
      </w:r>
      <w:r w:rsidR="00146E15">
        <w:rPr>
          <w:rFonts w:ascii="Times New Roman" w:hAnsi="Times New Roman"/>
          <w:i/>
          <w:sz w:val="20"/>
          <w:szCs w:val="20"/>
        </w:rPr>
        <w:t xml:space="preserve">elektroniką, AGD i RTV. Wynika </w:t>
      </w:r>
      <w:r>
        <w:rPr>
          <w:rFonts w:ascii="Times New Roman" w:hAnsi="Times New Roman"/>
          <w:i/>
          <w:sz w:val="20"/>
          <w:szCs w:val="20"/>
        </w:rPr>
        <w:t>to m.in. z rosnącej potrzeby zakupu np. sprzę</w:t>
      </w:r>
      <w:r w:rsidR="003C651F">
        <w:rPr>
          <w:rFonts w:ascii="Times New Roman" w:hAnsi="Times New Roman"/>
          <w:i/>
          <w:sz w:val="20"/>
          <w:szCs w:val="20"/>
        </w:rPr>
        <w:t>tu niezbędnego do pracy z domu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b/>
          <w:sz w:val="20"/>
          <w:szCs w:val="20"/>
        </w:rPr>
        <w:t>wylicza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Marta Drzewiecka, Portfolio </w:t>
      </w:r>
      <w:proofErr w:type="spellStart"/>
      <w:r>
        <w:rPr>
          <w:rFonts w:ascii="Times New Roman" w:hAnsi="Times New Roman"/>
          <w:b/>
          <w:sz w:val="20"/>
          <w:szCs w:val="20"/>
        </w:rPr>
        <w:t>Property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&amp; Marketing Manager </w:t>
      </w:r>
      <w:proofErr w:type="spellStart"/>
      <w:r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. </w:t>
      </w:r>
    </w:p>
    <w:p w14:paraId="5D6974A2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1AC4883" w14:textId="77777777" w:rsidR="00F9612E" w:rsidRDefault="00F9612E" w:rsidP="00F9612E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Efekt polaryzacji rynku?</w:t>
      </w:r>
    </w:p>
    <w:p w14:paraId="3966A561" w14:textId="1E49BEF1" w:rsidR="00F9612E" w:rsidRDefault="00F9612E" w:rsidP="00F9612E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Skąd ten trend? Jak przekonuje przedstawicielka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, wzrost roli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wynika między innymi z większej polaryzacji rynku, którą obserwujemy po pandemii.</w:t>
      </w:r>
      <w:r>
        <w:rPr>
          <w:rFonts w:ascii="Times New Roman" w:hAnsi="Times New Roman"/>
          <w:i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>Z uwagi na to, że e-commerce m</w:t>
      </w:r>
      <w:r w:rsidR="008F2449">
        <w:rPr>
          <w:rFonts w:ascii="Times New Roman" w:hAnsi="Times New Roman"/>
          <w:i/>
          <w:sz w:val="20"/>
          <w:szCs w:val="20"/>
        </w:rPr>
        <w:t xml:space="preserve">ocno dziś zagospodarowało </w:t>
      </w:r>
      <w:proofErr w:type="spellStart"/>
      <w:r w:rsidR="008F2449">
        <w:rPr>
          <w:rFonts w:ascii="Times New Roman" w:hAnsi="Times New Roman"/>
          <w:i/>
          <w:sz w:val="20"/>
          <w:szCs w:val="20"/>
        </w:rPr>
        <w:t>lifest</w:t>
      </w:r>
      <w:r>
        <w:rPr>
          <w:rFonts w:ascii="Times New Roman" w:hAnsi="Times New Roman"/>
          <w:i/>
          <w:sz w:val="20"/>
          <w:szCs w:val="20"/>
        </w:rPr>
        <w:t>ylowe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potrzeby zakupowe, klienci odczuwają mniejszą potrzebę, aby robić wielogodzinny shopping w dużych galeriach, w których taka oferta dominuje - </w:t>
      </w:r>
      <w:r>
        <w:rPr>
          <w:rFonts w:ascii="Times New Roman" w:hAnsi="Times New Roman"/>
          <w:sz w:val="20"/>
          <w:szCs w:val="20"/>
        </w:rPr>
        <w:t>mówi</w:t>
      </w:r>
      <w:r>
        <w:rPr>
          <w:rFonts w:ascii="Times New Roman" w:hAnsi="Times New Roman"/>
          <w:i/>
          <w:sz w:val="20"/>
          <w:szCs w:val="20"/>
        </w:rPr>
        <w:t>.</w:t>
      </w:r>
    </w:p>
    <w:p w14:paraId="31E34146" w14:textId="77777777" w:rsidR="00F9612E" w:rsidRDefault="00F9612E" w:rsidP="00F9612E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</w:p>
    <w:p w14:paraId="764BD565" w14:textId="0E2EF500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- Wybierają więc mniejsze centra, które </w:t>
      </w:r>
      <w:r w:rsidR="008F2449">
        <w:rPr>
          <w:rFonts w:ascii="Times New Roman" w:hAnsi="Times New Roman"/>
          <w:i/>
          <w:sz w:val="20"/>
          <w:szCs w:val="20"/>
        </w:rPr>
        <w:t xml:space="preserve">posiadają </w:t>
      </w:r>
      <w:r>
        <w:rPr>
          <w:rFonts w:ascii="Times New Roman" w:hAnsi="Times New Roman"/>
          <w:i/>
          <w:sz w:val="20"/>
          <w:szCs w:val="20"/>
        </w:rPr>
        <w:t xml:space="preserve">dopełniającą ofertę w stosunku do zakupów online, zwłaszcza z segmentu spożywczego, elektroniki, </w:t>
      </w:r>
      <w:proofErr w:type="spellStart"/>
      <w:r>
        <w:rPr>
          <w:rFonts w:ascii="Times New Roman" w:hAnsi="Times New Roman"/>
          <w:i/>
          <w:sz w:val="20"/>
          <w:szCs w:val="20"/>
        </w:rPr>
        <w:t>home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zdrowia i urody czy usług.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stało się więc zapleczem dla codziennych potrzeb zakupowych, ale także atrakcyjną alternatywą, którą konsument ma w zasięgu ręki  </w:t>
      </w:r>
      <w:r>
        <w:rPr>
          <w:rFonts w:ascii="Times New Roman" w:hAnsi="Times New Roman"/>
          <w:sz w:val="20"/>
          <w:szCs w:val="20"/>
        </w:rPr>
        <w:t>- dodaje Drzewiecka.</w:t>
      </w:r>
    </w:p>
    <w:p w14:paraId="56468205" w14:textId="77777777" w:rsidR="00F9612E" w:rsidRDefault="00F9612E" w:rsidP="00F9612E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</w:p>
    <w:p w14:paraId="69F6DD3E" w14:textId="77777777" w:rsidR="00F9612E" w:rsidRDefault="00F9612E" w:rsidP="00F9612E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Lokalność działa na korzyść</w:t>
      </w:r>
    </w:p>
    <w:p w14:paraId="3E929526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Przemawia za tym kilka czynników. W centrach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klient może szybciej zrobić zakupy niż w dużej galerii, tym bardziej, że po zakupach internetowych, część oferty dużej galerii go nie interesuje. Do tego w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oferta jest bardziej selektywna, dopasowana do bieżących potrzeb zakupowych, ale jednocześnie wystarczająco kompaktowa, aby przyciągać. </w:t>
      </w:r>
    </w:p>
    <w:p w14:paraId="1870B5CA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6FAB7D6" w14:textId="6379BBA9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Ważne są także względy bezpieczeństwa. Klienci, którzy czują się niepewnie z obecną sytuacją, wybierają miejsca, w których mogą zrobić szybkie i konkretne zakupy - to </w:t>
      </w:r>
      <w:r w:rsidR="002B10BA">
        <w:rPr>
          <w:rFonts w:ascii="Times New Roman" w:hAnsi="Times New Roman"/>
          <w:sz w:val="20"/>
          <w:szCs w:val="20"/>
        </w:rPr>
        <w:t>dziś często wybór miedzy online</w:t>
      </w:r>
      <w:r>
        <w:rPr>
          <w:rFonts w:ascii="Times New Roman" w:hAnsi="Times New Roman"/>
          <w:sz w:val="20"/>
          <w:szCs w:val="20"/>
        </w:rPr>
        <w:t xml:space="preserve"> a niewielkim centrum handlowym.</w:t>
      </w:r>
    </w:p>
    <w:p w14:paraId="4B6B6216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19EBB8F" w14:textId="77777777" w:rsidR="00F9612E" w:rsidRDefault="00F9612E" w:rsidP="00F9612E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Obecność na rynku klienta </w:t>
      </w:r>
      <w:proofErr w:type="spellStart"/>
      <w:r>
        <w:rPr>
          <w:rFonts w:ascii="Times New Roman" w:hAnsi="Times New Roman"/>
          <w:i/>
          <w:sz w:val="20"/>
          <w:szCs w:val="20"/>
        </w:rPr>
        <w:t>omnichannelowego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może pomóc segmentowi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. Tym bardziej, że w wielu punktach profil </w:t>
      </w:r>
      <w:proofErr w:type="spellStart"/>
      <w:r>
        <w:rPr>
          <w:rFonts w:ascii="Times New Roman" w:hAnsi="Times New Roman"/>
          <w:i/>
          <w:sz w:val="20"/>
          <w:szCs w:val="20"/>
        </w:rPr>
        <w:t>zachowań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klienta online i w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jest zbliżony. W obu kanałach konsumenci poszukują okazji i atrakcji zakupowych, w obu przypadkach także wybierają te kanały z troski o swoje zdrowie i bezpieczeństwo. Kluczowe są także takie czynniki jak wygoda robienia zakupów</w:t>
      </w:r>
      <w:r>
        <w:rPr>
          <w:rFonts w:ascii="Times New Roman" w:hAnsi="Times New Roman"/>
          <w:sz w:val="20"/>
          <w:szCs w:val="20"/>
        </w:rPr>
        <w:t xml:space="preserve"> - mówi.</w:t>
      </w:r>
    </w:p>
    <w:p w14:paraId="718E476B" w14:textId="77777777" w:rsidR="00F9612E" w:rsidRDefault="00F9612E" w:rsidP="00F9612E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</w:p>
    <w:p w14:paraId="7A56D86A" w14:textId="77777777" w:rsidR="00F9612E" w:rsidRDefault="00F9612E" w:rsidP="00F9612E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- W przypadku centrów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przewagą jest także ich bliskość. Konsument, który coraz więcej wydaje online, jest mniej skłonny do dalszych wypraw </w:t>
      </w:r>
      <w:proofErr w:type="spellStart"/>
      <w:r>
        <w:rPr>
          <w:rFonts w:ascii="Times New Roman" w:hAnsi="Times New Roman"/>
          <w:i/>
          <w:sz w:val="20"/>
          <w:szCs w:val="20"/>
        </w:rPr>
        <w:t>shoppingowych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. Wybiera więc centra najbliżej domu, które tu i teraz zaspokoją jego potrzeby. Jeśli dodatkowo znajduje w nich marki różnych branż zapewniające usługę </w:t>
      </w:r>
      <w:proofErr w:type="spellStart"/>
      <w:r>
        <w:rPr>
          <w:rFonts w:ascii="Times New Roman" w:hAnsi="Times New Roman"/>
          <w:i/>
          <w:sz w:val="20"/>
          <w:szCs w:val="20"/>
        </w:rPr>
        <w:t>click&amp;collect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dostęp do paczkomatu i usług pocztowych, oba kanały zaczynają się dopełniać </w:t>
      </w:r>
      <w:r>
        <w:rPr>
          <w:rFonts w:ascii="Times New Roman" w:hAnsi="Times New Roman"/>
          <w:sz w:val="20"/>
          <w:szCs w:val="20"/>
        </w:rPr>
        <w:t>- zauważa Drzewiecka.</w:t>
      </w:r>
    </w:p>
    <w:p w14:paraId="70B96725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3B6F466" w14:textId="77777777" w:rsidR="00F9612E" w:rsidRDefault="00F9612E" w:rsidP="00F9612E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Rynek, który ma przyszłość</w:t>
      </w:r>
    </w:p>
    <w:p w14:paraId="6CCAAD91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To nie pierwszy raz kiedy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pokazuje swój potencjał w zderzeniu z nowymi trendami konsumenckimi. Jak podaje Retail Market Monitor, rynek ten czeka w najbliższych 5 latach dynamiczny wzrost i to niezależnie od pandemii.  - </w:t>
      </w:r>
      <w:r>
        <w:rPr>
          <w:rFonts w:ascii="Times New Roman" w:hAnsi="Times New Roman"/>
          <w:i/>
          <w:sz w:val="20"/>
          <w:szCs w:val="20"/>
        </w:rPr>
        <w:t xml:space="preserve">Centra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zmieniają się, a COVID-19 przyspieszy ten proces. Już dziś widzimy znaczne zmiany w </w:t>
      </w:r>
      <w:proofErr w:type="spellStart"/>
      <w:r>
        <w:rPr>
          <w:rFonts w:ascii="Times New Roman" w:hAnsi="Times New Roman"/>
          <w:i/>
          <w:sz w:val="20"/>
          <w:szCs w:val="20"/>
        </w:rPr>
        <w:t>tenant-mix'ie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dla których dodatkowym katalizatorem staną się zapewne nowe trendy w </w:t>
      </w:r>
      <w:proofErr w:type="spellStart"/>
      <w:r>
        <w:rPr>
          <w:rFonts w:ascii="Times New Roman" w:hAnsi="Times New Roman"/>
          <w:i/>
          <w:sz w:val="20"/>
          <w:szCs w:val="20"/>
        </w:rPr>
        <w:t>zachowaniach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konsumentów i rodzące się potrzeby. W umocnieniu pozycji na rynku pomaga także fakt, że w odróżnieniu od dużych galerii, obiekty tego formatu są położone w otoczeniu osiedli mieszkaniowych. To spora przewaga, która w obliczu rosnącej roli e-commerce, polaryzacji rynku i zmieniających się </w:t>
      </w:r>
      <w:proofErr w:type="spellStart"/>
      <w:r>
        <w:rPr>
          <w:rFonts w:ascii="Times New Roman" w:hAnsi="Times New Roman"/>
          <w:i/>
          <w:sz w:val="20"/>
          <w:szCs w:val="20"/>
        </w:rPr>
        <w:t>zachowań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klientów może okazać się największym atutem</w:t>
      </w:r>
      <w:r>
        <w:rPr>
          <w:rFonts w:ascii="Times New Roman" w:hAnsi="Times New Roman"/>
          <w:sz w:val="20"/>
          <w:szCs w:val="20"/>
        </w:rPr>
        <w:t xml:space="preserve"> - mówi Drzewiecka.</w:t>
      </w:r>
    </w:p>
    <w:p w14:paraId="36717C94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AC4F8A2" w14:textId="2E6CB47B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Jak zauważa w swoim raporcie JLL, w ostatnich 24 miesiącach znacząco wzrosło zainteresowanie inwestorów formatem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, zwłaszcza obiektami, w których obecne są duże sklepy spożywcze. Pandemia może tylko zwiększyć to zainteresowanie. Powód? </w:t>
      </w:r>
      <w:r w:rsidRPr="0039212D">
        <w:rPr>
          <w:rFonts w:ascii="Times New Roman" w:hAnsi="Times New Roman"/>
          <w:sz w:val="20"/>
          <w:szCs w:val="20"/>
        </w:rPr>
        <w:t xml:space="preserve">Obiekty te w ostatnich miesiącach udowodniły, że są atrakcyjną alternatywą dla </w:t>
      </w:r>
      <w:r w:rsidR="007A052E" w:rsidRPr="0039212D">
        <w:rPr>
          <w:rFonts w:ascii="Times New Roman" w:hAnsi="Times New Roman"/>
          <w:sz w:val="20"/>
          <w:szCs w:val="20"/>
        </w:rPr>
        <w:t xml:space="preserve">dużych </w:t>
      </w:r>
      <w:r w:rsidRPr="0039212D">
        <w:rPr>
          <w:rFonts w:ascii="Times New Roman" w:hAnsi="Times New Roman"/>
          <w:sz w:val="20"/>
          <w:szCs w:val="20"/>
        </w:rPr>
        <w:t xml:space="preserve">centrów handlowych, a do tego </w:t>
      </w:r>
      <w:r>
        <w:rPr>
          <w:rFonts w:ascii="Times New Roman" w:hAnsi="Times New Roman"/>
          <w:sz w:val="20"/>
          <w:szCs w:val="20"/>
        </w:rPr>
        <w:t>wykazały się dużą odpornością na kryzys spowo</w:t>
      </w:r>
      <w:r w:rsidR="0058728D">
        <w:rPr>
          <w:rFonts w:ascii="Times New Roman" w:hAnsi="Times New Roman"/>
          <w:sz w:val="20"/>
          <w:szCs w:val="20"/>
        </w:rPr>
        <w:t>dowany COVID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-19. Już dziś aż 34% inwestycji na rynku nieruchomości handlowych to nowo powstające centra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i </w:t>
      </w:r>
      <w:proofErr w:type="spellStart"/>
      <w:r>
        <w:rPr>
          <w:rFonts w:ascii="Times New Roman" w:hAnsi="Times New Roman"/>
          <w:sz w:val="20"/>
          <w:szCs w:val="20"/>
        </w:rPr>
        <w:t>retail</w:t>
      </w:r>
      <w:proofErr w:type="spellEnd"/>
      <w:r>
        <w:rPr>
          <w:rFonts w:ascii="Times New Roman" w:hAnsi="Times New Roman"/>
          <w:sz w:val="20"/>
          <w:szCs w:val="20"/>
        </w:rPr>
        <w:t xml:space="preserve"> parki. 2020 i 2021 rok mają dostarczyć aż 171 tys. m kw. GLA nowej powierzchni w tych formatach - podaje JLL.</w:t>
      </w:r>
    </w:p>
    <w:p w14:paraId="3183218A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EAA77F0" w14:textId="77777777" w:rsidR="00F9612E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B6B77B0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54DB6112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71D5E621" w14:textId="347E9485" w:rsidR="00477497" w:rsidRPr="00F9612E" w:rsidRDefault="00B40D81" w:rsidP="005423CE">
      <w:pPr>
        <w:pStyle w:val="Bezodstpw"/>
        <w:jc w:val="both"/>
        <w:rPr>
          <w:rFonts w:ascii="Times New Roman" w:hAnsi="Times New Roman"/>
          <w:lang w:val="en-US"/>
        </w:rPr>
      </w:pPr>
      <w:proofErr w:type="spellStart"/>
      <w:r w:rsidRPr="00F9612E">
        <w:rPr>
          <w:rFonts w:ascii="Times New Roman" w:hAnsi="Times New Roman"/>
          <w:sz w:val="20"/>
          <w:lang w:val="en-US"/>
        </w:rPr>
        <w:t>Tagi</w:t>
      </w:r>
      <w:proofErr w:type="spellEnd"/>
      <w:r w:rsidRPr="00F9612E">
        <w:rPr>
          <w:rFonts w:ascii="Times New Roman" w:hAnsi="Times New Roman"/>
          <w:sz w:val="20"/>
          <w:lang w:val="en-US"/>
        </w:rPr>
        <w:t xml:space="preserve">: </w:t>
      </w:r>
      <w:proofErr w:type="spellStart"/>
      <w:r w:rsidRPr="00F9612E">
        <w:rPr>
          <w:rFonts w:ascii="Times New Roman" w:hAnsi="Times New Roman"/>
          <w:sz w:val="20"/>
          <w:lang w:val="en-US"/>
        </w:rPr>
        <w:t>Newbridg</w:t>
      </w:r>
      <w:r w:rsidR="004826C4" w:rsidRPr="00F9612E">
        <w:rPr>
          <w:rFonts w:ascii="Times New Roman" w:hAnsi="Times New Roman"/>
          <w:sz w:val="20"/>
          <w:lang w:val="en-US"/>
        </w:rPr>
        <w:t>e</w:t>
      </w:r>
      <w:proofErr w:type="spellEnd"/>
      <w:r w:rsidR="004826C4" w:rsidRPr="00F9612E">
        <w:rPr>
          <w:rFonts w:ascii="Times New Roman" w:hAnsi="Times New Roman"/>
          <w:sz w:val="20"/>
          <w:lang w:val="en-US"/>
        </w:rPr>
        <w:t xml:space="preserve"> </w:t>
      </w:r>
      <w:r w:rsidR="00876DD3" w:rsidRPr="00F9612E">
        <w:rPr>
          <w:rFonts w:ascii="Times New Roman" w:hAnsi="Times New Roman"/>
          <w:sz w:val="20"/>
          <w:lang w:val="en-US"/>
        </w:rPr>
        <w:t>Poland</w:t>
      </w:r>
    </w:p>
    <w:p w14:paraId="04267437" w14:textId="77777777" w:rsidR="00551FC3" w:rsidRPr="00F9612E" w:rsidRDefault="00551FC3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3CEDD6DA" w14:textId="77777777" w:rsidR="00551FC3" w:rsidRPr="00F9612E" w:rsidRDefault="00551FC3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06424C99" w14:textId="77777777" w:rsidR="004A0A65" w:rsidRPr="00F9612E" w:rsidRDefault="004A0A65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53B69792" w14:textId="6AB16854" w:rsidR="002723AC" w:rsidRPr="00F9612E" w:rsidRDefault="002723AC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  <w:proofErr w:type="spellStart"/>
      <w:r w:rsidRPr="00F9612E">
        <w:rPr>
          <w:rFonts w:ascii="Times New Roman" w:hAnsi="Times New Roman" w:cs="Times New Roman"/>
          <w:b/>
          <w:i/>
          <w:sz w:val="20"/>
          <w:lang w:val="en-US"/>
        </w:rPr>
        <w:t>Źródło</w:t>
      </w:r>
      <w:proofErr w:type="spellEnd"/>
      <w:r w:rsidR="00EB6754" w:rsidRPr="00F9612E">
        <w:rPr>
          <w:rFonts w:ascii="Times New Roman" w:hAnsi="Times New Roman" w:cs="Times New Roman"/>
          <w:sz w:val="20"/>
          <w:lang w:val="en-US"/>
        </w:rPr>
        <w:t xml:space="preserve">: </w:t>
      </w:r>
      <w:proofErr w:type="spellStart"/>
      <w:r w:rsidR="00EB6754" w:rsidRPr="00F9612E">
        <w:rPr>
          <w:rFonts w:ascii="Times New Roman" w:hAnsi="Times New Roman" w:cs="Times New Roman"/>
          <w:sz w:val="20"/>
          <w:lang w:val="en-US"/>
        </w:rPr>
        <w:t>Newbridge</w:t>
      </w:r>
      <w:proofErr w:type="spellEnd"/>
      <w:r w:rsidR="00D91479" w:rsidRPr="00F9612E">
        <w:rPr>
          <w:rFonts w:ascii="Times New Roman" w:hAnsi="Times New Roman" w:cs="Times New Roman"/>
          <w:sz w:val="20"/>
          <w:lang w:val="en-US"/>
        </w:rPr>
        <w:t xml:space="preserve"> Poland/Guarana PR</w:t>
      </w:r>
    </w:p>
    <w:p w14:paraId="3C9C100A" w14:textId="77777777" w:rsidR="00532B35" w:rsidRPr="00F9612E" w:rsidRDefault="00532B35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50BA01" w14:textId="77777777" w:rsidR="000F0BF5" w:rsidRDefault="000F0BF5" w:rsidP="002723AC">
      <w:pPr>
        <w:spacing w:after="0" w:line="240" w:lineRule="auto"/>
      </w:pPr>
      <w:r>
        <w:separator/>
      </w:r>
    </w:p>
  </w:endnote>
  <w:endnote w:type="continuationSeparator" w:id="0">
    <w:p w14:paraId="62F78142" w14:textId="77777777" w:rsidR="000F0BF5" w:rsidRDefault="000F0BF5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76BDD5" w14:textId="77777777" w:rsidR="000F0BF5" w:rsidRDefault="000F0BF5" w:rsidP="002723AC">
      <w:pPr>
        <w:spacing w:after="0" w:line="240" w:lineRule="auto"/>
      </w:pPr>
      <w:r>
        <w:separator/>
      </w:r>
    </w:p>
  </w:footnote>
  <w:footnote w:type="continuationSeparator" w:id="0">
    <w:p w14:paraId="2DDE0F1F" w14:textId="77777777" w:rsidR="000F0BF5" w:rsidRDefault="000F0BF5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7875"/>
    <w:rsid w:val="000B77AE"/>
    <w:rsid w:val="000C09C7"/>
    <w:rsid w:val="000C1F80"/>
    <w:rsid w:val="000C3A58"/>
    <w:rsid w:val="000F05A6"/>
    <w:rsid w:val="000F0BF5"/>
    <w:rsid w:val="000F7230"/>
    <w:rsid w:val="00114DEF"/>
    <w:rsid w:val="0011570A"/>
    <w:rsid w:val="00117782"/>
    <w:rsid w:val="001178BC"/>
    <w:rsid w:val="00136D5D"/>
    <w:rsid w:val="001374B9"/>
    <w:rsid w:val="00140C3D"/>
    <w:rsid w:val="001451BB"/>
    <w:rsid w:val="00146E15"/>
    <w:rsid w:val="00165823"/>
    <w:rsid w:val="00166C55"/>
    <w:rsid w:val="001733EB"/>
    <w:rsid w:val="001831B0"/>
    <w:rsid w:val="001917A1"/>
    <w:rsid w:val="0019350A"/>
    <w:rsid w:val="00193DB1"/>
    <w:rsid w:val="001A1FE9"/>
    <w:rsid w:val="001B200B"/>
    <w:rsid w:val="001B3660"/>
    <w:rsid w:val="001B7384"/>
    <w:rsid w:val="001C5E3B"/>
    <w:rsid w:val="001D54CA"/>
    <w:rsid w:val="001E0053"/>
    <w:rsid w:val="001E24BF"/>
    <w:rsid w:val="00200324"/>
    <w:rsid w:val="00204840"/>
    <w:rsid w:val="002120BB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38"/>
    <w:rsid w:val="002A4554"/>
    <w:rsid w:val="002B10BA"/>
    <w:rsid w:val="002B3AB3"/>
    <w:rsid w:val="002C21FB"/>
    <w:rsid w:val="002C77E7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7318"/>
    <w:rsid w:val="003B15BC"/>
    <w:rsid w:val="003C651F"/>
    <w:rsid w:val="003C693A"/>
    <w:rsid w:val="003D7BE5"/>
    <w:rsid w:val="003E3084"/>
    <w:rsid w:val="003E43F9"/>
    <w:rsid w:val="003F2D3A"/>
    <w:rsid w:val="003F3AED"/>
    <w:rsid w:val="004105A6"/>
    <w:rsid w:val="00414492"/>
    <w:rsid w:val="00437003"/>
    <w:rsid w:val="00464718"/>
    <w:rsid w:val="0046527F"/>
    <w:rsid w:val="00477497"/>
    <w:rsid w:val="004826C4"/>
    <w:rsid w:val="004A0A65"/>
    <w:rsid w:val="004A10DD"/>
    <w:rsid w:val="004A5B75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93F9E"/>
    <w:rsid w:val="005A526F"/>
    <w:rsid w:val="005A532E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A11D2"/>
    <w:rsid w:val="006A662A"/>
    <w:rsid w:val="006A67F9"/>
    <w:rsid w:val="006B1BAB"/>
    <w:rsid w:val="006B496B"/>
    <w:rsid w:val="006C1241"/>
    <w:rsid w:val="006C18C4"/>
    <w:rsid w:val="006C49EB"/>
    <w:rsid w:val="006D59E3"/>
    <w:rsid w:val="006E0458"/>
    <w:rsid w:val="006E2700"/>
    <w:rsid w:val="006E2822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74FA"/>
    <w:rsid w:val="00921ACA"/>
    <w:rsid w:val="00933DC6"/>
    <w:rsid w:val="00935E1A"/>
    <w:rsid w:val="00940635"/>
    <w:rsid w:val="009601EF"/>
    <w:rsid w:val="009625AB"/>
    <w:rsid w:val="00972FBF"/>
    <w:rsid w:val="00973012"/>
    <w:rsid w:val="0098502E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C77F6"/>
    <w:rsid w:val="00BE350F"/>
    <w:rsid w:val="00BF7D6B"/>
    <w:rsid w:val="00C00CFF"/>
    <w:rsid w:val="00C14949"/>
    <w:rsid w:val="00C23E39"/>
    <w:rsid w:val="00C302BC"/>
    <w:rsid w:val="00C44603"/>
    <w:rsid w:val="00C71661"/>
    <w:rsid w:val="00C72391"/>
    <w:rsid w:val="00C74DE0"/>
    <w:rsid w:val="00C816E2"/>
    <w:rsid w:val="00C970F8"/>
    <w:rsid w:val="00CA2957"/>
    <w:rsid w:val="00CA418D"/>
    <w:rsid w:val="00CB1365"/>
    <w:rsid w:val="00CB4103"/>
    <w:rsid w:val="00CC2758"/>
    <w:rsid w:val="00D0239D"/>
    <w:rsid w:val="00D02598"/>
    <w:rsid w:val="00D218B3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E04F7D"/>
    <w:rsid w:val="00E23497"/>
    <w:rsid w:val="00E24611"/>
    <w:rsid w:val="00E40690"/>
    <w:rsid w:val="00E44BBF"/>
    <w:rsid w:val="00E45808"/>
    <w:rsid w:val="00E4619E"/>
    <w:rsid w:val="00E5309D"/>
    <w:rsid w:val="00E73332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71C6"/>
    <w:rsid w:val="00F16EAB"/>
    <w:rsid w:val="00F31E4C"/>
    <w:rsid w:val="00F37BBA"/>
    <w:rsid w:val="00F56C11"/>
    <w:rsid w:val="00F655E1"/>
    <w:rsid w:val="00F77AFF"/>
    <w:rsid w:val="00F8372F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E055B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812</Words>
  <Characters>4874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209</cp:revision>
  <dcterms:created xsi:type="dcterms:W3CDTF">2019-08-23T07:16:00Z</dcterms:created>
  <dcterms:modified xsi:type="dcterms:W3CDTF">2020-09-24T07:42:00Z</dcterms:modified>
</cp:coreProperties>
</file>