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2571B8B1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437003">
        <w:rPr>
          <w:rFonts w:ascii="Times New Roman" w:hAnsi="Times New Roman" w:cs="Times New Roman"/>
          <w:b/>
          <w:sz w:val="18"/>
        </w:rPr>
        <w:t>11-09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0F7230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0F7230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0F7230">
        <w:rPr>
          <w:rFonts w:ascii="Times New Roman" w:hAnsi="Times New Roman" w:cs="Times New Roman"/>
          <w:sz w:val="18"/>
        </w:rPr>
        <w:t>i</w:t>
      </w:r>
      <w:r w:rsidRPr="000F7230">
        <w:rPr>
          <w:rFonts w:ascii="Times New Roman" w:hAnsi="Times New Roman" w:cs="Times New Roman"/>
          <w:sz w:val="18"/>
        </w:rPr>
        <w:t>zabela.jedruch</w:t>
      </w:r>
      <w:r w:rsidR="002723AC" w:rsidRPr="000F7230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0F7230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74004B65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14:paraId="65EA0CC0" w14:textId="77777777" w:rsidR="000F7230" w:rsidRDefault="000F7230" w:rsidP="000F7230">
      <w:pPr>
        <w:pStyle w:val="Bezodstpw"/>
        <w:jc w:val="both"/>
        <w:rPr>
          <w:rFonts w:ascii="Times New Roman" w:hAnsi="Times New Roman"/>
          <w:b/>
          <w:sz w:val="26"/>
          <w:szCs w:val="20"/>
        </w:rPr>
      </w:pPr>
      <w:r>
        <w:rPr>
          <w:rFonts w:ascii="Times New Roman" w:hAnsi="Times New Roman"/>
          <w:b/>
          <w:sz w:val="26"/>
          <w:szCs w:val="20"/>
        </w:rPr>
        <w:t xml:space="preserve">60 najemców przedłużyło umowy najmu w centrach </w:t>
      </w:r>
      <w:proofErr w:type="spellStart"/>
      <w:r>
        <w:rPr>
          <w:rFonts w:ascii="Times New Roman" w:hAnsi="Times New Roman"/>
          <w:b/>
          <w:sz w:val="26"/>
          <w:szCs w:val="20"/>
        </w:rPr>
        <w:t>Newbridge</w:t>
      </w:r>
      <w:proofErr w:type="spellEnd"/>
      <w:r>
        <w:rPr>
          <w:rFonts w:ascii="Times New Roman" w:hAnsi="Times New Roman"/>
          <w:b/>
          <w:sz w:val="26"/>
          <w:szCs w:val="20"/>
        </w:rPr>
        <w:t>!</w:t>
      </w:r>
    </w:p>
    <w:p w14:paraId="5EF80E05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B9A528A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Marki dostrzegają coraz większy potencjał inwestycyjny w centrach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należących do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, czego dowodem jest bezprecedensowa dziś na rynku </w:t>
      </w:r>
      <w:proofErr w:type="spellStart"/>
      <w:r>
        <w:rPr>
          <w:rFonts w:ascii="Times New Roman" w:hAnsi="Times New Roman"/>
          <w:sz w:val="20"/>
          <w:szCs w:val="20"/>
        </w:rPr>
        <w:t>retail</w:t>
      </w:r>
      <w:proofErr w:type="spellEnd"/>
      <w:r>
        <w:rPr>
          <w:rFonts w:ascii="Times New Roman" w:hAnsi="Times New Roman"/>
          <w:sz w:val="20"/>
          <w:szCs w:val="20"/>
        </w:rPr>
        <w:t xml:space="preserve"> fala przedłużeń umów najmu, jaka miała miejsce w trzech obiektach w Krakowie, Toruniu i Łodzi. </w:t>
      </w:r>
    </w:p>
    <w:p w14:paraId="0A5D2F82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3F44A9F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ciągu ostatnich kilku miesięcy aż 60 wieloletnich partnerów biznesowych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zdecydowało się prolongować swoje umowy. Wśród nich znalazły się zarówno duże krajowe i zagraniczne marki, jak i lokalni najemcy. W sumie umowy objęły blisko 10 tys. m kw. GLA.!</w:t>
      </w:r>
    </w:p>
    <w:p w14:paraId="3DDF78AC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1254031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Najwięcej prolongat podpisano w Nowych Czyżynach w Krakowie, które są jednocześnie największym centrum handlowym w portfolio inwestora. Umowy dotyczyły tutaj aż 4,5 tys. m kw. GLA. Na pozostanie w obiekcie na kolejne lata zdecydowało się aż 29 marek, co stanowi aż jedną trzecią oferty centrum handlowego. Podobna sytuacja miała miejsce w Nowych Bielawach w Toruniu. Tutaj na dalszą inwestycję w najem zdecydowało się aż 23 najemców, którzy łącznie zajmują ponad 4 tys. m kw. GLA. Podobnie sierpień zakończył się w Nowej Górnej w Łodzi. W tamtejszym centrum handlowym przedłużenia objęły blisko 800 m kw. GLA.</w:t>
      </w:r>
    </w:p>
    <w:p w14:paraId="4D1C6C3F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6717B8F" w14:textId="77777777" w:rsidR="000F7230" w:rsidRDefault="000F7230" w:rsidP="000F7230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– </w:t>
      </w:r>
      <w:r>
        <w:rPr>
          <w:rFonts w:ascii="Times New Roman" w:hAnsi="Times New Roman"/>
          <w:i/>
          <w:sz w:val="20"/>
          <w:szCs w:val="20"/>
        </w:rPr>
        <w:t xml:space="preserve">Ostatnie miesiące przyniosły prawdziwy wysyp umów, co jest niespotykane dziś na rynku. Nasi najemcy zostają na kolejne lata, tym samum umacniając </w:t>
      </w:r>
      <w:proofErr w:type="spellStart"/>
      <w:r>
        <w:rPr>
          <w:rFonts w:ascii="Times New Roman" w:hAnsi="Times New Roman"/>
          <w:i/>
          <w:sz w:val="20"/>
          <w:szCs w:val="20"/>
        </w:rPr>
        <w:t>tenant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-mix naszych centrów handlowych. To najlepszy dowód na to, że marki dostrzegły zarówno potencjał naszych obiektów, jak również potencjał całego formatu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.- </w:t>
      </w:r>
      <w:r>
        <w:rPr>
          <w:rFonts w:ascii="Times New Roman" w:hAnsi="Times New Roman"/>
          <w:b/>
          <w:sz w:val="20"/>
          <w:szCs w:val="20"/>
        </w:rPr>
        <w:t xml:space="preserve">mówi Joanna Bieniek, leasing manager w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>.</w:t>
      </w:r>
    </w:p>
    <w:p w14:paraId="5A9E1283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D390533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podają badania Retail Market Monitor w najbliższych 5 latach centra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czeka dynamiczny wzrost. Ma to dotyczyć zarówno nowych marek lokowanych w tych obiektach, jak i obrotów. - </w:t>
      </w:r>
      <w:r>
        <w:rPr>
          <w:rFonts w:ascii="Times New Roman" w:hAnsi="Times New Roman"/>
          <w:i/>
          <w:sz w:val="20"/>
          <w:szCs w:val="20"/>
        </w:rPr>
        <w:t xml:space="preserve">Nasi najemcy śledzą tendencje rynkowe. Wielu z nich posiadając sklepy w dużych galeriach ma także porównanie, jak w czasach post </w:t>
      </w:r>
      <w:proofErr w:type="spellStart"/>
      <w:r>
        <w:rPr>
          <w:rFonts w:ascii="Times New Roman" w:hAnsi="Times New Roman"/>
          <w:i/>
          <w:sz w:val="20"/>
          <w:szCs w:val="20"/>
        </w:rPr>
        <w:t>covid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kształtują się wyniki dotyczące </w:t>
      </w:r>
      <w:proofErr w:type="spellStart"/>
      <w:r>
        <w:rPr>
          <w:rFonts w:ascii="Times New Roman" w:hAnsi="Times New Roman"/>
          <w:i/>
          <w:sz w:val="20"/>
          <w:szCs w:val="20"/>
        </w:rPr>
        <w:t>footfall’u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i obrotów. Na tej podstawie modyfikowane są dziś plany rozwoju poszczególnych marek. Te coraz częściej obejmują formaty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- zauważa Joanna Bieniek. </w:t>
      </w:r>
    </w:p>
    <w:p w14:paraId="0F897F06" w14:textId="77777777" w:rsidR="000F7230" w:rsidRDefault="000F7230" w:rsidP="000F7230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8DAC8A5" w14:textId="290E1C3C" w:rsidR="000F7230" w:rsidRDefault="000F7230" w:rsidP="000F7230">
      <w:pPr>
        <w:spacing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Ale na korzyść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przemawia nie tylko sytuacja na rynku.</w:t>
      </w:r>
      <w:r>
        <w:rPr>
          <w:rFonts w:ascii="Times New Roman" w:hAnsi="Times New Roman"/>
          <w:i/>
          <w:sz w:val="20"/>
          <w:szCs w:val="20"/>
        </w:rPr>
        <w:t xml:space="preserve"> - Na decyzję najemców wpływ miało kilka unikalnych dla nas czynników, w tym m.in. modernizacja obiektów czy skuteczna strategia marketingowa. Najemcy, </w:t>
      </w:r>
      <w:r w:rsidR="00827BCE">
        <w:rPr>
          <w:rFonts w:ascii="Times New Roman" w:hAnsi="Times New Roman"/>
          <w:i/>
          <w:sz w:val="20"/>
          <w:szCs w:val="20"/>
        </w:rPr>
        <w:t>z którymi prowadziliśmy rozmowy</w:t>
      </w:r>
      <w:r>
        <w:rPr>
          <w:rFonts w:ascii="Times New Roman" w:hAnsi="Times New Roman"/>
          <w:i/>
          <w:sz w:val="20"/>
          <w:szCs w:val="20"/>
        </w:rPr>
        <w:t xml:space="preserve"> docenili również silną pozycję obiektów na lokalnych rynkach. Atutem w naszym przypadku była także nowa jakość formatu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którą rozwijamy w ostatnich latach, bazując przede wszystkim na atrakcyjnym </w:t>
      </w:r>
      <w:proofErr w:type="spellStart"/>
      <w:r>
        <w:rPr>
          <w:rFonts w:ascii="Times New Roman" w:hAnsi="Times New Roman"/>
          <w:i/>
          <w:sz w:val="20"/>
          <w:szCs w:val="20"/>
        </w:rPr>
        <w:t>tenant-mix'ie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odróżniającym nas od innych centrów tego typu - </w:t>
      </w:r>
      <w:r>
        <w:rPr>
          <w:rFonts w:ascii="Times New Roman" w:hAnsi="Times New Roman"/>
          <w:b/>
          <w:sz w:val="20"/>
          <w:szCs w:val="20"/>
        </w:rPr>
        <w:t xml:space="preserve">mówi </w:t>
      </w:r>
      <w:proofErr w:type="spellStart"/>
      <w:r>
        <w:rPr>
          <w:rFonts w:ascii="Times New Roman" w:hAnsi="Times New Roman"/>
          <w:b/>
          <w:sz w:val="20"/>
          <w:szCs w:val="20"/>
        </w:rPr>
        <w:t>Rory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Mepham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, dyrektor zarządzający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Poland.</w:t>
      </w:r>
    </w:p>
    <w:p w14:paraId="6C503602" w14:textId="77777777" w:rsidR="000F7230" w:rsidRDefault="000F7230" w:rsidP="000F7230">
      <w:pPr>
        <w:spacing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- Kluczowe były także wyniki, jakie centra osiągnęły przed pandemią, a także po zniesieniu </w:t>
      </w:r>
      <w:proofErr w:type="spellStart"/>
      <w:r>
        <w:rPr>
          <w:rFonts w:ascii="Times New Roman" w:hAnsi="Times New Roman"/>
          <w:i/>
          <w:sz w:val="20"/>
          <w:szCs w:val="20"/>
        </w:rPr>
        <w:t>lockdown'u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. Centra </w:t>
      </w:r>
      <w:proofErr w:type="spellStart"/>
      <w:r>
        <w:rPr>
          <w:rFonts w:ascii="Times New Roman" w:hAnsi="Times New Roman"/>
          <w:i/>
          <w:sz w:val="20"/>
          <w:szCs w:val="20"/>
        </w:rPr>
        <w:t>Newbridge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zdecydowanie się tutaj wyróżniają. Ostatnie miesiące przyniosły powrót nawet 90 proc. klientów, co jest o wynikiem o 10 punktów procentowych lepszym niż wyniki porównywalnych centrów handlowych (porównanie do Indeksu Polskiej Rady Centrów Handlowych dla małych i średnich obiektów). Ruch przełożył się także na obroty przypadające na jednego klienta. Te w ostatnich tygodniach rok do roku wzrosły nawet o 16 proc. - dodaje.</w:t>
      </w:r>
    </w:p>
    <w:p w14:paraId="5C34E349" w14:textId="77777777" w:rsidR="000F7230" w:rsidRDefault="000F7230" w:rsidP="000F7230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Które marki doceniły potencjał centrów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? We wszystkich trzech obiektach umowy przedłużyła m.in. sieć Rossmann, a także </w:t>
      </w:r>
      <w:proofErr w:type="spellStart"/>
      <w:r>
        <w:rPr>
          <w:rFonts w:ascii="Times New Roman" w:hAnsi="Times New Roman"/>
          <w:sz w:val="20"/>
          <w:szCs w:val="20"/>
        </w:rPr>
        <w:t>teleoperator</w:t>
      </w:r>
      <w:proofErr w:type="spellEnd"/>
      <w:r>
        <w:rPr>
          <w:rFonts w:ascii="Times New Roman" w:hAnsi="Times New Roman"/>
          <w:sz w:val="20"/>
          <w:szCs w:val="20"/>
        </w:rPr>
        <w:t xml:space="preserve"> Play. Marka </w:t>
      </w:r>
      <w:proofErr w:type="spellStart"/>
      <w:r>
        <w:rPr>
          <w:rFonts w:ascii="Times New Roman" w:hAnsi="Times New Roman"/>
          <w:sz w:val="20"/>
          <w:szCs w:val="20"/>
        </w:rPr>
        <w:t>home&amp;you</w:t>
      </w:r>
      <w:proofErr w:type="spellEnd"/>
      <w:r>
        <w:rPr>
          <w:rFonts w:ascii="Times New Roman" w:hAnsi="Times New Roman"/>
          <w:sz w:val="20"/>
          <w:szCs w:val="20"/>
        </w:rPr>
        <w:t xml:space="preserve"> zdecydowała się na prolongowanie umów w Nowych Bielawach i Nowych Czyżynach. Ponadto w krakowskim centrum nadal obecne będą takie brandy jak m.in. </w:t>
      </w:r>
      <w:proofErr w:type="spellStart"/>
      <w:r>
        <w:rPr>
          <w:rFonts w:ascii="Times New Roman" w:hAnsi="Times New Roman"/>
          <w:sz w:val="20"/>
          <w:szCs w:val="20"/>
        </w:rPr>
        <w:t>Apart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Diverse, </w:t>
      </w:r>
      <w:proofErr w:type="spellStart"/>
      <w:r>
        <w:rPr>
          <w:rFonts w:ascii="Times New Roman" w:hAnsi="Times New Roman"/>
          <w:sz w:val="20"/>
          <w:szCs w:val="20"/>
        </w:rPr>
        <w:t>Greenpoint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Pepco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Nakielny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Awiteks</w:t>
      </w:r>
      <w:proofErr w:type="spellEnd"/>
      <w:r>
        <w:rPr>
          <w:rFonts w:ascii="Times New Roman" w:hAnsi="Times New Roman"/>
          <w:sz w:val="20"/>
          <w:szCs w:val="20"/>
        </w:rPr>
        <w:t xml:space="preserve">, Świat Książki, </w:t>
      </w:r>
      <w:proofErr w:type="spellStart"/>
      <w:r>
        <w:rPr>
          <w:rFonts w:ascii="Times New Roman" w:hAnsi="Times New Roman"/>
          <w:sz w:val="20"/>
          <w:szCs w:val="20"/>
        </w:rPr>
        <w:t>Yves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Rocher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Kodano</w:t>
      </w:r>
      <w:proofErr w:type="spellEnd"/>
      <w:r>
        <w:rPr>
          <w:rFonts w:ascii="Times New Roman" w:hAnsi="Times New Roman"/>
          <w:sz w:val="20"/>
          <w:szCs w:val="20"/>
        </w:rPr>
        <w:t xml:space="preserve"> Optyk, Silver Dragon czy Jean Louis David. W Nowych Bielawach pula objęła z kolei m.in.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Giacomo Conti,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pl-PL"/>
        </w:rPr>
        <w:t>Triumph</w:t>
      </w:r>
      <w:proofErr w:type="spellEnd"/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pl-PL"/>
        </w:rPr>
        <w:t>Esotiq</w:t>
      </w:r>
      <w:proofErr w:type="spellEnd"/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, Cukiernię Sowa,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pl-PL"/>
        </w:rPr>
        <w:t>Briju</w:t>
      </w:r>
      <w:proofErr w:type="spellEnd"/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, a także Orange,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pl-PL"/>
        </w:rPr>
        <w:t>Virgin</w:t>
      </w:r>
      <w:proofErr w:type="spellEnd"/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Mobile oraz Canal+.  Wśród najemców, którzy zdecydowali się dalej działać w Nowej Górnej znaleźć można m.in. </w:t>
      </w:r>
      <w:r>
        <w:rPr>
          <w:rFonts w:ascii="Times New Roman" w:hAnsi="Times New Roman"/>
          <w:sz w:val="20"/>
          <w:szCs w:val="20"/>
        </w:rPr>
        <w:t xml:space="preserve">Orange, </w:t>
      </w:r>
      <w:proofErr w:type="spellStart"/>
      <w:r>
        <w:rPr>
          <w:rFonts w:ascii="Times New Roman" w:hAnsi="Times New Roman"/>
          <w:sz w:val="20"/>
          <w:szCs w:val="20"/>
        </w:rPr>
        <w:t>Yves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Rocher</w:t>
      </w:r>
      <w:proofErr w:type="spellEnd"/>
      <w:r>
        <w:rPr>
          <w:rFonts w:ascii="Times New Roman" w:hAnsi="Times New Roman"/>
          <w:sz w:val="20"/>
          <w:szCs w:val="20"/>
        </w:rPr>
        <w:t xml:space="preserve"> i W. Kruk.  Jak zapowiada Joanna Bieniek to nie koniec. </w:t>
      </w:r>
      <w:r>
        <w:rPr>
          <w:rFonts w:ascii="Times New Roman" w:hAnsi="Times New Roman"/>
          <w:i/>
          <w:sz w:val="20"/>
          <w:szCs w:val="20"/>
        </w:rPr>
        <w:t xml:space="preserve">- Część rozmów wciąż jest w toku, jednak zbliżają się one już do finału. Wszystko wskazuje więc na to, że pula prolongat jeszcze się powiększy  </w:t>
      </w:r>
      <w:r>
        <w:rPr>
          <w:rFonts w:ascii="Times New Roman" w:hAnsi="Times New Roman"/>
          <w:sz w:val="20"/>
          <w:szCs w:val="20"/>
        </w:rPr>
        <w:t>- mówi.</w:t>
      </w:r>
    </w:p>
    <w:p w14:paraId="15F202B3" w14:textId="77777777" w:rsidR="00646527" w:rsidRPr="000C4083" w:rsidRDefault="00646527" w:rsidP="00646527">
      <w:pPr>
        <w:pStyle w:val="Bezodstpw"/>
        <w:rPr>
          <w:rFonts w:ascii="Times New Roman" w:hAnsi="Times New Roman"/>
          <w:sz w:val="18"/>
        </w:rPr>
      </w:pPr>
    </w:p>
    <w:p w14:paraId="57667494" w14:textId="77777777" w:rsidR="008C3F87" w:rsidRPr="002A4538" w:rsidRDefault="008C3F8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2B6B77B0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54DB6112" w14:textId="77777777" w:rsidR="00EC484E" w:rsidRPr="002A4538" w:rsidRDefault="00EC484E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3E41E920" w:rsidR="00477497" w:rsidRPr="00A32ABE" w:rsidRDefault="00B40D81" w:rsidP="005423CE">
      <w:pPr>
        <w:pStyle w:val="Bezodstpw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0"/>
        </w:rPr>
        <w:t>Tagi</w:t>
      </w:r>
      <w:proofErr w:type="spellEnd"/>
      <w:r>
        <w:rPr>
          <w:rFonts w:ascii="Times New Roman" w:hAnsi="Times New Roman"/>
          <w:sz w:val="20"/>
        </w:rPr>
        <w:t xml:space="preserve">: </w:t>
      </w:r>
      <w:proofErr w:type="spellStart"/>
      <w:r>
        <w:rPr>
          <w:rFonts w:ascii="Times New Roman" w:hAnsi="Times New Roman"/>
          <w:sz w:val="20"/>
        </w:rPr>
        <w:t>Newbridg</w:t>
      </w:r>
      <w:r w:rsidR="004826C4">
        <w:rPr>
          <w:rFonts w:ascii="Times New Roman" w:hAnsi="Times New Roman"/>
          <w:sz w:val="20"/>
        </w:rPr>
        <w:t>e</w:t>
      </w:r>
      <w:proofErr w:type="spellEnd"/>
      <w:r w:rsidR="004826C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Poland, </w:t>
      </w:r>
      <w:r w:rsidR="00E825D1">
        <w:rPr>
          <w:rFonts w:ascii="Times New Roman" w:hAnsi="Times New Roman"/>
          <w:sz w:val="20"/>
        </w:rPr>
        <w:t>Nowe Czyżyny, Nowe Bielawy</w:t>
      </w:r>
      <w:r w:rsidR="00797C5C">
        <w:rPr>
          <w:rFonts w:ascii="Times New Roman" w:hAnsi="Times New Roman"/>
          <w:sz w:val="20"/>
        </w:rPr>
        <w:t>, Nowa Górna</w:t>
      </w:r>
    </w:p>
    <w:p w14:paraId="04267437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3CEDD6DA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7749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FA7FC9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2C6B62" w14:textId="77777777" w:rsidR="006C18C4" w:rsidRDefault="006C18C4" w:rsidP="002723AC">
      <w:pPr>
        <w:spacing w:after="0" w:line="240" w:lineRule="auto"/>
      </w:pPr>
      <w:r>
        <w:separator/>
      </w:r>
    </w:p>
  </w:endnote>
  <w:endnote w:type="continuationSeparator" w:id="0">
    <w:p w14:paraId="79F3D370" w14:textId="77777777" w:rsidR="006C18C4" w:rsidRDefault="006C18C4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CF773D" w14:textId="77777777" w:rsidR="006C18C4" w:rsidRDefault="006C18C4" w:rsidP="002723AC">
      <w:pPr>
        <w:spacing w:after="0" w:line="240" w:lineRule="auto"/>
      </w:pPr>
      <w:r>
        <w:separator/>
      </w:r>
    </w:p>
  </w:footnote>
  <w:footnote w:type="continuationSeparator" w:id="0">
    <w:p w14:paraId="79A2E4FD" w14:textId="77777777" w:rsidR="006C18C4" w:rsidRDefault="006C18C4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7875"/>
    <w:rsid w:val="000B77AE"/>
    <w:rsid w:val="000C09C7"/>
    <w:rsid w:val="000C1F80"/>
    <w:rsid w:val="000F05A6"/>
    <w:rsid w:val="000F7230"/>
    <w:rsid w:val="00114DEF"/>
    <w:rsid w:val="0011570A"/>
    <w:rsid w:val="00117782"/>
    <w:rsid w:val="001178BC"/>
    <w:rsid w:val="00136D5D"/>
    <w:rsid w:val="001374B9"/>
    <w:rsid w:val="001451BB"/>
    <w:rsid w:val="00165823"/>
    <w:rsid w:val="00166C55"/>
    <w:rsid w:val="001733EB"/>
    <w:rsid w:val="001831B0"/>
    <w:rsid w:val="001917A1"/>
    <w:rsid w:val="0019350A"/>
    <w:rsid w:val="00193DB1"/>
    <w:rsid w:val="001A1FE9"/>
    <w:rsid w:val="001B200B"/>
    <w:rsid w:val="001B3660"/>
    <w:rsid w:val="001B7384"/>
    <w:rsid w:val="001C5E3B"/>
    <w:rsid w:val="001D54CA"/>
    <w:rsid w:val="001E0053"/>
    <w:rsid w:val="001E24BF"/>
    <w:rsid w:val="00200324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38"/>
    <w:rsid w:val="002A4554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3084"/>
    <w:rsid w:val="003E43F9"/>
    <w:rsid w:val="003F2D3A"/>
    <w:rsid w:val="003F3AED"/>
    <w:rsid w:val="004105A6"/>
    <w:rsid w:val="00414492"/>
    <w:rsid w:val="00437003"/>
    <w:rsid w:val="00464718"/>
    <w:rsid w:val="0046527F"/>
    <w:rsid w:val="00477497"/>
    <w:rsid w:val="004826C4"/>
    <w:rsid w:val="004A0A65"/>
    <w:rsid w:val="004A10DD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93F9E"/>
    <w:rsid w:val="005A526F"/>
    <w:rsid w:val="005A532E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A11D2"/>
    <w:rsid w:val="006A662A"/>
    <w:rsid w:val="006A67F9"/>
    <w:rsid w:val="006B1BAB"/>
    <w:rsid w:val="006B496B"/>
    <w:rsid w:val="006C1241"/>
    <w:rsid w:val="006C18C4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90919"/>
    <w:rsid w:val="008C282B"/>
    <w:rsid w:val="008C3F87"/>
    <w:rsid w:val="008C7C84"/>
    <w:rsid w:val="008D35A2"/>
    <w:rsid w:val="008E5BB6"/>
    <w:rsid w:val="008E5C4B"/>
    <w:rsid w:val="008F0B0C"/>
    <w:rsid w:val="008F74FA"/>
    <w:rsid w:val="00921ACA"/>
    <w:rsid w:val="00933DC6"/>
    <w:rsid w:val="00935E1A"/>
    <w:rsid w:val="00940635"/>
    <w:rsid w:val="009601EF"/>
    <w:rsid w:val="009625AB"/>
    <w:rsid w:val="00972FBF"/>
    <w:rsid w:val="00973012"/>
    <w:rsid w:val="0098502E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C77F6"/>
    <w:rsid w:val="00BE350F"/>
    <w:rsid w:val="00BF7D6B"/>
    <w:rsid w:val="00C00CFF"/>
    <w:rsid w:val="00C14949"/>
    <w:rsid w:val="00C23E39"/>
    <w:rsid w:val="00C302BC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B4103"/>
    <w:rsid w:val="00CC2758"/>
    <w:rsid w:val="00D0239D"/>
    <w:rsid w:val="00D02598"/>
    <w:rsid w:val="00D218B3"/>
    <w:rsid w:val="00D655FD"/>
    <w:rsid w:val="00D660DF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2832"/>
    <w:rsid w:val="00F16EAB"/>
    <w:rsid w:val="00F31E4C"/>
    <w:rsid w:val="00F37BBA"/>
    <w:rsid w:val="00F56C11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055B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691</Words>
  <Characters>4149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189</cp:revision>
  <dcterms:created xsi:type="dcterms:W3CDTF">2019-08-23T07:16:00Z</dcterms:created>
  <dcterms:modified xsi:type="dcterms:W3CDTF">2020-09-11T07:55:00Z</dcterms:modified>
</cp:coreProperties>
</file>