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352A4E22" w:rsidR="002723AC" w:rsidRPr="00C23E39" w:rsidRDefault="0007596E" w:rsidP="00CD1DB4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3105BC">
        <w:rPr>
          <w:rFonts w:ascii="Times New Roman" w:hAnsi="Times New Roman" w:cs="Times New Roman"/>
          <w:b/>
          <w:sz w:val="18"/>
        </w:rPr>
        <w:t>30-06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1D1FEE">
        <w:rPr>
          <w:rFonts w:ascii="Times New Roman" w:hAnsi="Times New Roman" w:cs="Times New Roman"/>
          <w:b/>
          <w:sz w:val="18"/>
        </w:rPr>
        <w:t>2021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CD1DB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1D1FEE" w:rsidRDefault="00FE3213" w:rsidP="00CD1DB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1D1FEE">
        <w:rPr>
          <w:rFonts w:ascii="Times New Roman" w:hAnsi="Times New Roman" w:cs="Times New Roman"/>
          <w:sz w:val="18"/>
        </w:rPr>
        <w:t>Izabela Jędruch</w:t>
      </w:r>
      <w:r w:rsidR="002723AC" w:rsidRPr="001D1FEE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A80576" w:rsidRDefault="00FE3213" w:rsidP="00CD1DB4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A80576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A80576">
        <w:rPr>
          <w:rFonts w:ascii="Times New Roman" w:hAnsi="Times New Roman" w:cs="Times New Roman"/>
          <w:sz w:val="18"/>
        </w:rPr>
        <w:t>i</w:t>
      </w:r>
      <w:r w:rsidRPr="00A80576">
        <w:rPr>
          <w:rFonts w:ascii="Times New Roman" w:hAnsi="Times New Roman" w:cs="Times New Roman"/>
          <w:sz w:val="18"/>
        </w:rPr>
        <w:t>zabela.jedruch</w:t>
      </w:r>
      <w:r w:rsidR="002723AC" w:rsidRPr="00A80576">
        <w:rPr>
          <w:rFonts w:ascii="Times New Roman" w:hAnsi="Times New Roman" w:cs="Times New Roman"/>
          <w:sz w:val="18"/>
        </w:rPr>
        <w:t>@guaranapr.pl</w:t>
      </w:r>
    </w:p>
    <w:p w14:paraId="18BE4FC9" w14:textId="77777777" w:rsidR="00BB14D0" w:rsidRPr="00A80576" w:rsidRDefault="00BB14D0" w:rsidP="00CD1DB4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4883B251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b/>
          <w:bCs/>
          <w:sz w:val="34"/>
          <w:szCs w:val="34"/>
        </w:rPr>
      </w:pPr>
      <w:r w:rsidRPr="00985F54">
        <w:rPr>
          <w:rFonts w:ascii="Times New Roman" w:hAnsi="Times New Roman" w:cs="Times New Roman"/>
          <w:b/>
          <w:bCs/>
          <w:sz w:val="34"/>
          <w:szCs w:val="34"/>
        </w:rPr>
        <w:t xml:space="preserve">Mocne ożywienie handlu w centrach </w:t>
      </w:r>
      <w:proofErr w:type="spellStart"/>
      <w:r w:rsidRPr="00985F54">
        <w:rPr>
          <w:rFonts w:ascii="Times New Roman" w:hAnsi="Times New Roman" w:cs="Times New Roman"/>
          <w:b/>
          <w:bCs/>
          <w:sz w:val="34"/>
          <w:szCs w:val="34"/>
        </w:rPr>
        <w:t>Newbridge</w:t>
      </w:r>
      <w:proofErr w:type="spellEnd"/>
    </w:p>
    <w:p w14:paraId="7F5CADB5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6874A7DC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985F54">
        <w:rPr>
          <w:rFonts w:ascii="Times New Roman" w:hAnsi="Times New Roman" w:cs="Times New Roman"/>
          <w:sz w:val="28"/>
          <w:szCs w:val="28"/>
        </w:rPr>
        <w:t xml:space="preserve">Majowe obroty w centrach </w:t>
      </w:r>
      <w:proofErr w:type="spellStart"/>
      <w:r w:rsidRPr="00985F54">
        <w:rPr>
          <w:rFonts w:ascii="Times New Roman" w:hAnsi="Times New Roman" w:cs="Times New Roman"/>
          <w:sz w:val="28"/>
          <w:szCs w:val="28"/>
        </w:rPr>
        <w:t>Newbridge</w:t>
      </w:r>
      <w:proofErr w:type="spellEnd"/>
      <w:r w:rsidRPr="00985F54">
        <w:rPr>
          <w:rFonts w:ascii="Times New Roman" w:hAnsi="Times New Roman" w:cs="Times New Roman"/>
          <w:sz w:val="28"/>
          <w:szCs w:val="28"/>
        </w:rPr>
        <w:t xml:space="preserve"> są dobrą prognozą na kolejne miesiące. Tym bardziej, że przewyższają te z maja 2020 roku i maja 2019 r. </w:t>
      </w:r>
    </w:p>
    <w:p w14:paraId="5E58915D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178B38EA" w14:textId="0E18FCE9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 zniesieniu </w:t>
      </w:r>
      <w:proofErr w:type="spellStart"/>
      <w:r>
        <w:rPr>
          <w:rFonts w:ascii="Times New Roman" w:hAnsi="Times New Roman" w:cs="Times New Roman"/>
          <w:sz w:val="20"/>
          <w:szCs w:val="20"/>
        </w:rPr>
        <w:t>lockdownu</w:t>
      </w:r>
      <w:proofErr w:type="spellEnd"/>
      <w:r w:rsidR="008D7C5C">
        <w:rPr>
          <w:rFonts w:ascii="Times New Roman" w:hAnsi="Times New Roman" w:cs="Times New Roman"/>
          <w:sz w:val="20"/>
          <w:szCs w:val="20"/>
        </w:rPr>
        <w:t xml:space="preserve"> sporo wydajemy w centrach </w:t>
      </w:r>
      <w:proofErr w:type="spellStart"/>
      <w:r w:rsidR="008D7C5C">
        <w:rPr>
          <w:rFonts w:ascii="Times New Roman" w:hAnsi="Times New Roman" w:cs="Times New Roman"/>
          <w:sz w:val="20"/>
          <w:szCs w:val="20"/>
        </w:rPr>
        <w:t>co</w:t>
      </w:r>
      <w:r w:rsidRPr="00985F54">
        <w:rPr>
          <w:rFonts w:ascii="Times New Roman" w:hAnsi="Times New Roman" w:cs="Times New Roman"/>
          <w:sz w:val="20"/>
          <w:szCs w:val="20"/>
        </w:rPr>
        <w:t>nvenience</w:t>
      </w:r>
      <w:proofErr w:type="spellEnd"/>
      <w:r w:rsidRPr="00985F54">
        <w:rPr>
          <w:rFonts w:ascii="Times New Roman" w:hAnsi="Times New Roman" w:cs="Times New Roman"/>
          <w:sz w:val="20"/>
          <w:szCs w:val="20"/>
        </w:rPr>
        <w:t xml:space="preserve">. Najlepszym tego przykładem są obiekty z </w:t>
      </w:r>
      <w:r w:rsidR="008D7C5C">
        <w:rPr>
          <w:rFonts w:ascii="Times New Roman" w:hAnsi="Times New Roman" w:cs="Times New Roman"/>
          <w:sz w:val="20"/>
          <w:szCs w:val="20"/>
        </w:rPr>
        <w:t xml:space="preserve">portfolio </w:t>
      </w:r>
      <w:proofErr w:type="spellStart"/>
      <w:r w:rsidR="008D7C5C">
        <w:rPr>
          <w:rFonts w:ascii="Times New Roman" w:hAnsi="Times New Roman" w:cs="Times New Roman"/>
          <w:sz w:val="20"/>
          <w:szCs w:val="20"/>
        </w:rPr>
        <w:t>Newbridge</w:t>
      </w:r>
      <w:proofErr w:type="spellEnd"/>
      <w:r w:rsidR="008D7C5C">
        <w:rPr>
          <w:rFonts w:ascii="Times New Roman" w:hAnsi="Times New Roman" w:cs="Times New Roman"/>
          <w:sz w:val="20"/>
          <w:szCs w:val="20"/>
        </w:rPr>
        <w:t xml:space="preserve">. </w:t>
      </w:r>
      <w:r w:rsidRPr="00985F54">
        <w:rPr>
          <w:rFonts w:ascii="Times New Roman" w:hAnsi="Times New Roman" w:cs="Times New Roman"/>
          <w:sz w:val="20"/>
          <w:szCs w:val="20"/>
        </w:rPr>
        <w:t>W trzech centrach handlowych inwestora w Krakowie, Łodzi i Toruniu majowe obroty były nie tylko wyższe niż rok temu w maju, ale także znacznie przewyższyły obroty w zestawieniu z majem 2019, a więc przed pandemią.</w:t>
      </w:r>
    </w:p>
    <w:p w14:paraId="53132B2B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216BF95F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985F54">
        <w:rPr>
          <w:rFonts w:ascii="Times New Roman" w:hAnsi="Times New Roman" w:cs="Times New Roman"/>
          <w:sz w:val="20"/>
          <w:szCs w:val="20"/>
        </w:rPr>
        <w:t xml:space="preserve">- 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Maj przyniósł nie tylko ożywienie ruchu w centrach handlowych </w:t>
      </w:r>
      <w:proofErr w:type="spellStart"/>
      <w:r w:rsidRPr="00985F54">
        <w:rPr>
          <w:rFonts w:ascii="Times New Roman" w:hAnsi="Times New Roman" w:cs="Times New Roman"/>
          <w:i/>
          <w:iCs/>
          <w:sz w:val="20"/>
          <w:szCs w:val="20"/>
        </w:rPr>
        <w:t>Newbridge</w:t>
      </w:r>
      <w:proofErr w:type="spellEnd"/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 i powrót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nawet 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>8</w:t>
      </w:r>
      <w:r>
        <w:rPr>
          <w:rFonts w:ascii="Times New Roman" w:hAnsi="Times New Roman" w:cs="Times New Roman"/>
          <w:i/>
          <w:iCs/>
          <w:sz w:val="20"/>
          <w:szCs w:val="20"/>
        </w:rPr>
        <w:t>5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>% klientów, w zestawieniu z wynikami z 2019 r., ale przede wszystkim uwolnił portfele kupujących. W efekcie, obserwujemy stabilny wzrost wskaźnika odwiedzin i to na poziomie wyższym niż przed rokiem, a także notujemy znaczny wzrost obrotów w porównaniu z ostatnimi dwoma laty. To trend, który mocno zaznaczył się w maju i który utrzymuje się nadal</w:t>
      </w:r>
      <w:r w:rsidRPr="00985F54">
        <w:rPr>
          <w:rFonts w:ascii="Times New Roman" w:hAnsi="Times New Roman" w:cs="Times New Roman"/>
          <w:sz w:val="20"/>
          <w:szCs w:val="20"/>
        </w:rPr>
        <w:t xml:space="preserve"> – </w:t>
      </w:r>
      <w:r w:rsidRPr="00985F54">
        <w:rPr>
          <w:rFonts w:ascii="Times New Roman" w:hAnsi="Times New Roman" w:cs="Times New Roman"/>
          <w:b/>
          <w:bCs/>
          <w:sz w:val="20"/>
          <w:szCs w:val="20"/>
        </w:rPr>
        <w:t xml:space="preserve">mówi Marta Drzewiecka, </w:t>
      </w:r>
      <w:proofErr w:type="spellStart"/>
      <w:r w:rsidRPr="00985F54">
        <w:rPr>
          <w:rFonts w:ascii="Times New Roman" w:hAnsi="Times New Roman" w:cs="Times New Roman"/>
          <w:b/>
          <w:bCs/>
          <w:sz w:val="20"/>
          <w:szCs w:val="20"/>
        </w:rPr>
        <w:t>Director</w:t>
      </w:r>
      <w:proofErr w:type="spellEnd"/>
      <w:r w:rsidRPr="00985F54">
        <w:rPr>
          <w:rFonts w:ascii="Times New Roman" w:hAnsi="Times New Roman" w:cs="Times New Roman"/>
          <w:b/>
          <w:bCs/>
          <w:sz w:val="20"/>
          <w:szCs w:val="20"/>
        </w:rPr>
        <w:t xml:space="preserve"> w </w:t>
      </w:r>
      <w:proofErr w:type="spellStart"/>
      <w:r w:rsidRPr="00985F54">
        <w:rPr>
          <w:rFonts w:ascii="Times New Roman" w:hAnsi="Times New Roman" w:cs="Times New Roman"/>
          <w:b/>
          <w:bCs/>
          <w:sz w:val="20"/>
          <w:szCs w:val="20"/>
        </w:rPr>
        <w:t>Newbridge</w:t>
      </w:r>
      <w:proofErr w:type="spellEnd"/>
      <w:r w:rsidRPr="00985F54">
        <w:rPr>
          <w:rFonts w:ascii="Times New Roman" w:hAnsi="Times New Roman" w:cs="Times New Roman"/>
          <w:b/>
          <w:bCs/>
          <w:sz w:val="20"/>
          <w:szCs w:val="20"/>
        </w:rPr>
        <w:t xml:space="preserve"> Poland.</w:t>
      </w:r>
      <w:r w:rsidRPr="00985F5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64A88CE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346F11C4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985F54">
        <w:rPr>
          <w:rFonts w:ascii="Times New Roman" w:hAnsi="Times New Roman" w:cs="Times New Roman"/>
          <w:sz w:val="20"/>
          <w:szCs w:val="20"/>
        </w:rPr>
        <w:t xml:space="preserve">Jak to wyglądało w praktyce? W całym portfolio </w:t>
      </w:r>
      <w:proofErr w:type="spellStart"/>
      <w:r w:rsidRPr="00985F54">
        <w:rPr>
          <w:rFonts w:ascii="Times New Roman" w:hAnsi="Times New Roman" w:cs="Times New Roman"/>
          <w:sz w:val="20"/>
          <w:szCs w:val="20"/>
        </w:rPr>
        <w:t>Newbridge</w:t>
      </w:r>
      <w:proofErr w:type="spellEnd"/>
      <w:r w:rsidRPr="00985F54">
        <w:rPr>
          <w:rFonts w:ascii="Times New Roman" w:hAnsi="Times New Roman" w:cs="Times New Roman"/>
          <w:sz w:val="20"/>
          <w:szCs w:val="20"/>
        </w:rPr>
        <w:t>, które obejmuje Nowe Czyżyny w Krakowie, Nowe Bielawy w Toruniu i Nową Górną w Łodzi zanotowano rok do roku średni wzrost obrotów aż o 19%. Z kolei w zestawieniu z majem 2019 obroty były wyższe o 13%.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85F54">
        <w:rPr>
          <w:rFonts w:ascii="Times New Roman" w:hAnsi="Times New Roman" w:cs="Times New Roman"/>
          <w:sz w:val="20"/>
          <w:szCs w:val="20"/>
        </w:rPr>
        <w:t>Najlepiej w całej grupie poradziło sobie centrum handlowe Nowe Czyżyny</w:t>
      </w:r>
      <w:r>
        <w:rPr>
          <w:rFonts w:ascii="Times New Roman" w:hAnsi="Times New Roman" w:cs="Times New Roman"/>
          <w:sz w:val="20"/>
          <w:szCs w:val="20"/>
        </w:rPr>
        <w:t>. T</w:t>
      </w:r>
      <w:r w:rsidRPr="00985F54">
        <w:rPr>
          <w:rFonts w:ascii="Times New Roman" w:hAnsi="Times New Roman" w:cs="Times New Roman"/>
          <w:sz w:val="20"/>
          <w:szCs w:val="20"/>
        </w:rPr>
        <w:t xml:space="preserve">o w porównaniu do maja </w:t>
      </w:r>
      <w:r>
        <w:rPr>
          <w:rFonts w:ascii="Times New Roman" w:hAnsi="Times New Roman" w:cs="Times New Roman"/>
          <w:sz w:val="20"/>
          <w:szCs w:val="20"/>
        </w:rPr>
        <w:t xml:space="preserve">2019, czyli </w:t>
      </w:r>
      <w:r w:rsidRPr="00985F54">
        <w:rPr>
          <w:rFonts w:ascii="Times New Roman" w:hAnsi="Times New Roman" w:cs="Times New Roman"/>
          <w:sz w:val="20"/>
          <w:szCs w:val="20"/>
        </w:rPr>
        <w:t>sprzed pandemii miało obroty wyższe aż o 20%. Z kolei rok do roku o 14%. Podobnie było w Nowych Bielawach. Tu zarówno w porównaniu do maja 2020, jak i maja 2019 zanotowano wzrost o 17%. Skąd tak duże wydatki Polaków, pomimo skłonności do oszczędności, jakie towarzyszą pandemii?</w:t>
      </w:r>
    </w:p>
    <w:p w14:paraId="24095842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158B9D78" w14:textId="05308076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985F54">
        <w:rPr>
          <w:rFonts w:ascii="Times New Roman" w:hAnsi="Times New Roman" w:cs="Times New Roman"/>
          <w:sz w:val="20"/>
          <w:szCs w:val="20"/>
        </w:rPr>
        <w:t xml:space="preserve">- 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Jest kilka czynników, które wpływają dziś na wydatki i efekt, jaki obserwujemy w sklepach. W przypadku centrów </w:t>
      </w:r>
      <w:proofErr w:type="spellStart"/>
      <w:r w:rsidRPr="00985F54">
        <w:rPr>
          <w:rFonts w:ascii="Times New Roman" w:hAnsi="Times New Roman" w:cs="Times New Roman"/>
          <w:i/>
          <w:iCs/>
          <w:sz w:val="20"/>
          <w:szCs w:val="20"/>
        </w:rPr>
        <w:t>convenience</w:t>
      </w:r>
      <w:proofErr w:type="spellEnd"/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 procentuje przywiązanie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klientów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. W pandemii lepiej poznaliśmy ten format, doceniliśmy jego lokalny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i sąsiedzki 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charakter, a przede wszystkim </w:t>
      </w:r>
      <w:r>
        <w:rPr>
          <w:rFonts w:ascii="Times New Roman" w:hAnsi="Times New Roman" w:cs="Times New Roman"/>
          <w:i/>
          <w:iCs/>
          <w:sz w:val="20"/>
          <w:szCs w:val="20"/>
        </w:rPr>
        <w:t>kompaktową ofertę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>. To sprawiło, że</w:t>
      </w:r>
      <w:r w:rsidR="008D7C5C">
        <w:rPr>
          <w:rFonts w:ascii="Times New Roman" w:hAnsi="Times New Roman" w:cs="Times New Roman"/>
          <w:i/>
          <w:iCs/>
          <w:sz w:val="20"/>
          <w:szCs w:val="20"/>
        </w:rPr>
        <w:t xml:space="preserve"> nawet po zniesieniu obostrzeń 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>chętniej niż przed pandemią robimy tutaj zakupy – te codzienne, ale i okazjonalne</w:t>
      </w:r>
      <w:r w:rsidRPr="00985F54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tłumaczy</w:t>
      </w:r>
      <w:r w:rsidRPr="00985F54">
        <w:rPr>
          <w:rFonts w:ascii="Times New Roman" w:hAnsi="Times New Roman" w:cs="Times New Roman"/>
          <w:sz w:val="20"/>
          <w:szCs w:val="20"/>
        </w:rPr>
        <w:t xml:space="preserve"> Marta Drzewiecka.</w:t>
      </w:r>
    </w:p>
    <w:p w14:paraId="2824AEA1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224C2C82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985F54">
        <w:rPr>
          <w:rFonts w:ascii="Times New Roman" w:hAnsi="Times New Roman" w:cs="Times New Roman"/>
          <w:sz w:val="20"/>
          <w:szCs w:val="20"/>
        </w:rPr>
        <w:t xml:space="preserve">- </w:t>
      </w:r>
      <w:r w:rsidRPr="00625B0A">
        <w:rPr>
          <w:rFonts w:ascii="Times New Roman" w:hAnsi="Times New Roman" w:cs="Times New Roman"/>
          <w:i/>
          <w:iCs/>
          <w:sz w:val="20"/>
          <w:szCs w:val="20"/>
        </w:rPr>
        <w:t xml:space="preserve">Mocno na zakupy wpłynęły także zachowania konsumentów. Przez 1,5 miesiąca kupujący pozbawieni byli dostępu do stacjonarnych sklepów. To sprawiło, że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część </w:t>
      </w:r>
      <w:r w:rsidRPr="00625B0A">
        <w:rPr>
          <w:rFonts w:ascii="Times New Roman" w:hAnsi="Times New Roman" w:cs="Times New Roman"/>
          <w:i/>
          <w:iCs/>
          <w:sz w:val="20"/>
          <w:szCs w:val="20"/>
        </w:rPr>
        <w:t>zakupów odłożono, a potrzeby „zamrożono”. To co obserwowaliśmy w maju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r w:rsidRPr="00625B0A">
        <w:rPr>
          <w:rFonts w:ascii="Times New Roman" w:hAnsi="Times New Roman" w:cs="Times New Roman"/>
          <w:i/>
          <w:iCs/>
          <w:sz w:val="20"/>
          <w:szCs w:val="20"/>
        </w:rPr>
        <w:t>to uwolnienie portfeli konsumentów, które szło w parze nie tylko z zakupami impulsywnymi, ale przede wszystkim w parze z zaplanowanymi, konkretnymi zakupami, które klienci chcieli zrobić od wielu tygodni</w:t>
      </w:r>
      <w:r w:rsidRPr="00985F54">
        <w:rPr>
          <w:rFonts w:ascii="Times New Roman" w:hAnsi="Times New Roman" w:cs="Times New Roman"/>
          <w:sz w:val="20"/>
          <w:szCs w:val="20"/>
        </w:rPr>
        <w:t xml:space="preserve"> – dodaje.</w:t>
      </w:r>
    </w:p>
    <w:p w14:paraId="5F543EC8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3DF96A67" w14:textId="77777777" w:rsidR="00CA7F93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985F54">
        <w:rPr>
          <w:rFonts w:ascii="Times New Roman" w:hAnsi="Times New Roman" w:cs="Times New Roman"/>
          <w:sz w:val="20"/>
          <w:szCs w:val="20"/>
        </w:rPr>
        <w:t xml:space="preserve">Ale nie tylko przywiązanie do formatu czy </w:t>
      </w:r>
      <w:r>
        <w:rPr>
          <w:rFonts w:ascii="Times New Roman" w:hAnsi="Times New Roman" w:cs="Times New Roman"/>
          <w:sz w:val="20"/>
          <w:szCs w:val="20"/>
        </w:rPr>
        <w:t>o</w:t>
      </w:r>
      <w:r w:rsidRPr="00985F54">
        <w:rPr>
          <w:rFonts w:ascii="Times New Roman" w:hAnsi="Times New Roman" w:cs="Times New Roman"/>
          <w:sz w:val="20"/>
          <w:szCs w:val="20"/>
        </w:rPr>
        <w:t xml:space="preserve">czekiwanie na otwarcie procentowało. Także wyczekiwany „powrót do normalności”. 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>– Maj był miesiącem nie tylko luzowań w handlu, ale w całym życiu społecznym. Polacy znów zaczęli podróżować, a więc i kupować rzeczy niezbędne do wyjazdów weekendowych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i wakacyjnych. Zaczęliśmy uprawiać sport, wróciliśmy na siłownie i do fitness clubów, co również pociągnęło wydatki. Do tego powróciły imprezy rodzinne, co skłoniło nas do dodatkowych zakupów, w tym do kupowania ubrań i prezentów. Wydatkom pomogła też zmiana pory roku, a także aktywność najemców, zwłaszcza związana z </w:t>
      </w:r>
      <w:proofErr w:type="spellStart"/>
      <w:r w:rsidRPr="00985F54">
        <w:rPr>
          <w:rFonts w:ascii="Times New Roman" w:hAnsi="Times New Roman" w:cs="Times New Roman"/>
          <w:i/>
          <w:iCs/>
          <w:sz w:val="20"/>
          <w:szCs w:val="20"/>
        </w:rPr>
        <w:t>mid</w:t>
      </w:r>
      <w:proofErr w:type="spellEnd"/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985F54">
        <w:rPr>
          <w:rFonts w:ascii="Times New Roman" w:hAnsi="Times New Roman" w:cs="Times New Roman"/>
          <w:i/>
          <w:iCs/>
          <w:sz w:val="20"/>
          <w:szCs w:val="20"/>
        </w:rPr>
        <w:t>season</w:t>
      </w:r>
      <w:proofErr w:type="spellEnd"/>
      <w:r w:rsidRPr="00985F54">
        <w:rPr>
          <w:rFonts w:ascii="Times New Roman" w:hAnsi="Times New Roman" w:cs="Times New Roman"/>
          <w:i/>
          <w:iCs/>
          <w:sz w:val="20"/>
          <w:szCs w:val="20"/>
        </w:rPr>
        <w:t xml:space="preserve"> sale</w:t>
      </w:r>
      <w:r w:rsidRPr="00985F54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wylicza</w:t>
      </w:r>
      <w:r w:rsidRPr="00985F5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przedstawicielka </w:t>
      </w:r>
      <w:proofErr w:type="spellStart"/>
      <w:r>
        <w:rPr>
          <w:rFonts w:ascii="Times New Roman" w:hAnsi="Times New Roman" w:cs="Times New Roman"/>
          <w:sz w:val="20"/>
          <w:szCs w:val="20"/>
        </w:rPr>
        <w:t>Newbridge</w:t>
      </w:r>
      <w:proofErr w:type="spellEnd"/>
      <w:r w:rsidRPr="00985F54">
        <w:rPr>
          <w:rFonts w:ascii="Times New Roman" w:hAnsi="Times New Roman" w:cs="Times New Roman"/>
          <w:sz w:val="20"/>
          <w:szCs w:val="20"/>
        </w:rPr>
        <w:t>.</w:t>
      </w:r>
    </w:p>
    <w:p w14:paraId="2473D2E7" w14:textId="77777777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0A6EA776" w14:textId="731B9ADE" w:rsidR="00CA7F93" w:rsidRDefault="008D7C5C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Ożywienie to także zasługa entuzjazmu, </w:t>
      </w:r>
      <w:r w:rsidR="00CA7F93">
        <w:rPr>
          <w:rFonts w:ascii="Times New Roman" w:hAnsi="Times New Roman" w:cs="Times New Roman"/>
          <w:sz w:val="20"/>
          <w:szCs w:val="20"/>
        </w:rPr>
        <w:t>jaki pojawił się</w:t>
      </w:r>
      <w:r w:rsidR="00CA7F93" w:rsidRPr="00985F54">
        <w:rPr>
          <w:rFonts w:ascii="Times New Roman" w:hAnsi="Times New Roman" w:cs="Times New Roman"/>
          <w:sz w:val="20"/>
          <w:szCs w:val="20"/>
        </w:rPr>
        <w:t xml:space="preserve"> na rynku. Jak podaje Deloitte, pod koniec maja aż 68% Polaków czuło się bezpiecznie w sklepach, co jest najlepszym wynikiem od miesięcy. Podobnie jest w restauracjach. Aż 57% nie boi się już powrotu do lokali gastronomicznych. Jest to najlepszy wynik od wybuch</w:t>
      </w:r>
      <w:r w:rsidR="00CA7F93">
        <w:rPr>
          <w:rFonts w:ascii="Times New Roman" w:hAnsi="Times New Roman" w:cs="Times New Roman"/>
          <w:sz w:val="20"/>
          <w:szCs w:val="20"/>
        </w:rPr>
        <w:t>u</w:t>
      </w:r>
      <w:r w:rsidR="00CA7F93" w:rsidRPr="00985F54">
        <w:rPr>
          <w:rFonts w:ascii="Times New Roman" w:hAnsi="Times New Roman" w:cs="Times New Roman"/>
          <w:sz w:val="20"/>
          <w:szCs w:val="20"/>
        </w:rPr>
        <w:t xml:space="preserve"> pandemii</w:t>
      </w:r>
      <w:r w:rsidR="00CA7F93">
        <w:rPr>
          <w:rFonts w:ascii="Times New Roman" w:hAnsi="Times New Roman" w:cs="Times New Roman"/>
          <w:sz w:val="20"/>
          <w:szCs w:val="20"/>
        </w:rPr>
        <w:t>.</w:t>
      </w:r>
      <w:r w:rsidR="00CA7F93" w:rsidRPr="00985F54">
        <w:rPr>
          <w:rFonts w:ascii="Times New Roman" w:hAnsi="Times New Roman" w:cs="Times New Roman"/>
          <w:sz w:val="20"/>
          <w:szCs w:val="20"/>
        </w:rPr>
        <w:t xml:space="preserve"> Jednocześnie stajemy się coraz bardziej skłonni do dużych zakupów. Te odkładane są obecnie tylko przez 37% Polaków - czytamy w raporcie Deloitte.</w:t>
      </w:r>
    </w:p>
    <w:p w14:paraId="521B0E8A" w14:textId="77777777" w:rsidR="00CA7F93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7309B892" w14:textId="5425D400" w:rsidR="00CA7F93" w:rsidRPr="00985F54" w:rsidRDefault="00CA7F93" w:rsidP="00CA7F9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Ten entuzjazm przełożył się w</w:t>
      </w:r>
      <w:r w:rsidR="008D7C5C">
        <w:rPr>
          <w:rFonts w:ascii="Times New Roman" w:hAnsi="Times New Roman" w:cs="Times New Roman"/>
          <w:sz w:val="20"/>
          <w:szCs w:val="20"/>
        </w:rPr>
        <w:t xml:space="preserve">prost na wyniki. Jak podaje GUS, 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sprzedaż detaliczna rok do roku w maju wzrosła aż o 14 proc. Znaczące wzrosty zanotowano w branżach bezpośrednio powiązanych z centrami handlowymi. Sektor oferujący „tekstylia, odzież, obuwie” zanotował wzrost sprzedaży aż o 46%, z kolei grupa, w której </w:t>
      </w:r>
      <w:r>
        <w:rPr>
          <w:rFonts w:ascii="Times New Roman" w:hAnsi="Times New Roman" w:cs="Times New Roman"/>
          <w:sz w:val="20"/>
          <w:szCs w:val="20"/>
        </w:rPr>
        <w:lastRenderedPageBreak/>
        <w:t xml:space="preserve">znajdują się m.in. kosmetyki o 18,5%. Maj przyniósł wzrost sprzedaży zarówno w ujęciu rocznym, jak i miesięcznym. Trend ten znalazł bezpośrednie odzwierciedlenie w centrach </w:t>
      </w:r>
      <w:proofErr w:type="spellStart"/>
      <w:r>
        <w:rPr>
          <w:rFonts w:ascii="Times New Roman" w:hAnsi="Times New Roman" w:cs="Times New Roman"/>
          <w:sz w:val="20"/>
          <w:szCs w:val="20"/>
        </w:rPr>
        <w:t>Newbridge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, gdzie największą sprzedaż zanotowano w sklepach segmentu </w:t>
      </w:r>
      <w:proofErr w:type="spellStart"/>
      <w:r>
        <w:rPr>
          <w:rFonts w:ascii="Times New Roman" w:hAnsi="Times New Roman" w:cs="Times New Roman"/>
          <w:sz w:val="20"/>
          <w:szCs w:val="20"/>
        </w:rPr>
        <w:t>fashion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4D96480" w14:textId="77777777" w:rsidR="00CD1DB4" w:rsidRDefault="00CD1DB4" w:rsidP="00CD1DB4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66687C3E" w14:textId="77777777" w:rsidR="00A32E82" w:rsidRDefault="00A32E82" w:rsidP="00CD1DB4">
      <w:pPr>
        <w:pStyle w:val="Bezodstpw"/>
        <w:jc w:val="both"/>
        <w:rPr>
          <w:rFonts w:ascii="Times New Roman" w:hAnsi="Times New Roman"/>
          <w:b/>
          <w:sz w:val="36"/>
          <w:szCs w:val="36"/>
        </w:rPr>
      </w:pPr>
    </w:p>
    <w:p w14:paraId="1C90EB88" w14:textId="77777777" w:rsidR="001C5B3E" w:rsidRDefault="001C5B3E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DB9983B" w14:textId="77777777" w:rsidR="00696A6D" w:rsidRPr="00BB14D0" w:rsidRDefault="00696A6D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200D7B0A" w14:textId="784DCCAE" w:rsidR="001B3440" w:rsidRPr="00FC1CCC" w:rsidRDefault="00E31D61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  <w:proofErr w:type="spellStart"/>
      <w:r w:rsidRPr="00FC1CCC">
        <w:rPr>
          <w:rFonts w:ascii="Times New Roman" w:hAnsi="Times New Roman"/>
          <w:sz w:val="20"/>
          <w:szCs w:val="20"/>
        </w:rPr>
        <w:t>Tagi</w:t>
      </w:r>
      <w:proofErr w:type="spellEnd"/>
      <w:r w:rsidRPr="00FC1CCC">
        <w:rPr>
          <w:rFonts w:ascii="Times New Roman" w:hAnsi="Times New Roman"/>
          <w:sz w:val="20"/>
          <w:szCs w:val="20"/>
        </w:rPr>
        <w:t xml:space="preserve">: </w:t>
      </w:r>
      <w:proofErr w:type="spellStart"/>
      <w:r w:rsidRPr="00FC1CCC">
        <w:rPr>
          <w:rFonts w:ascii="Times New Roman" w:hAnsi="Times New Roman"/>
          <w:sz w:val="20"/>
          <w:szCs w:val="20"/>
        </w:rPr>
        <w:t>Newbridge</w:t>
      </w:r>
      <w:proofErr w:type="spellEnd"/>
      <w:r w:rsidR="00FC1CCC" w:rsidRPr="00FC1CCC">
        <w:rPr>
          <w:rFonts w:ascii="Times New Roman" w:hAnsi="Times New Roman"/>
          <w:sz w:val="20"/>
          <w:szCs w:val="20"/>
        </w:rPr>
        <w:t>, Nowe Bielawy, Nowe Czyżyny, Nowa Górna</w:t>
      </w:r>
    </w:p>
    <w:p w14:paraId="4035FF08" w14:textId="77777777" w:rsidR="001B3440" w:rsidRPr="00FC1CCC" w:rsidRDefault="001B3440" w:rsidP="00CD1DB4">
      <w:pPr>
        <w:pStyle w:val="Bezodstpw"/>
        <w:jc w:val="both"/>
        <w:rPr>
          <w:rFonts w:ascii="Times New Roman" w:hAnsi="Times New Roman"/>
          <w:sz w:val="20"/>
          <w:szCs w:val="20"/>
        </w:rPr>
      </w:pPr>
    </w:p>
    <w:p w14:paraId="3CEDD6DA" w14:textId="77777777" w:rsidR="00551FC3" w:rsidRPr="00FC1CCC" w:rsidRDefault="00551FC3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FC1CCC" w:rsidRDefault="004A0A65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3105BC" w:rsidRDefault="002723AC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3105BC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3105BC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3105BC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3105BC">
        <w:rPr>
          <w:rFonts w:ascii="Times New Roman" w:hAnsi="Times New Roman" w:cs="Times New Roman"/>
          <w:sz w:val="20"/>
        </w:rPr>
        <w:t xml:space="preserve"> Poland/Guarana PR</w:t>
      </w:r>
    </w:p>
    <w:p w14:paraId="13F21D10" w14:textId="77777777" w:rsidR="001D1FEE" w:rsidRPr="003105BC" w:rsidRDefault="001D1FEE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4A51A523" w14:textId="781C7DBC" w:rsidR="001D1FEE" w:rsidRPr="001D1FEE" w:rsidRDefault="001D1FEE" w:rsidP="00CD1DB4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to spółka założona w 2015 roku przez międzynarodową grupę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Somerston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skupiająca się na inw</w:t>
      </w:r>
      <w:r>
        <w:rPr>
          <w:rFonts w:ascii="Times New Roman" w:hAnsi="Times New Roman" w:cs="Times New Roman"/>
          <w:sz w:val="16"/>
          <w:szCs w:val="16"/>
        </w:rPr>
        <w:t>estowaniu w centra handlowe typu</w:t>
      </w:r>
      <w:r w:rsidRPr="001D1FEE">
        <w:rPr>
          <w:rFonts w:ascii="Times New Roman" w:hAnsi="Times New Roman" w:cs="Times New Roman"/>
          <w:sz w:val="16"/>
          <w:szCs w:val="16"/>
        </w:rPr>
        <w:t xml:space="preserve"> ‘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convenience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’ oraz parki handlowe.  Obecnie w portfolio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 xml:space="preserve"> Poland znajduje się 6 obiektów handlowych w Polsce: Centrum Nowe Czyżyny w Krakowie, Centrum Nowe Bielawy w Toruniu, Centrum Nowa Górna w Łodzi oraz Parki Handlowe </w:t>
      </w:r>
      <w:proofErr w:type="spellStart"/>
      <w:r w:rsidRPr="001D1FEE">
        <w:rPr>
          <w:rFonts w:ascii="Times New Roman" w:hAnsi="Times New Roman" w:cs="Times New Roman"/>
          <w:sz w:val="16"/>
          <w:szCs w:val="16"/>
        </w:rPr>
        <w:t>Newbridge</w:t>
      </w:r>
      <w:proofErr w:type="spellEnd"/>
      <w:r w:rsidRPr="001D1FEE">
        <w:rPr>
          <w:rFonts w:ascii="Times New Roman" w:hAnsi="Times New Roman" w:cs="Times New Roman"/>
          <w:sz w:val="16"/>
          <w:szCs w:val="16"/>
        </w:rPr>
        <w:t>, zlokalizowane w Grodzisku Mazowieckim, Włocławku i Namysłowie. Więcej informacji: newbridge.com.pl</w:t>
      </w:r>
    </w:p>
    <w:p w14:paraId="3C9C100A" w14:textId="77777777" w:rsidR="00532B35" w:rsidRPr="00E12C4D" w:rsidRDefault="00532B35" w:rsidP="00CD1DB4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78107D25" w:rsidR="00EB6754" w:rsidRPr="00C23E39" w:rsidRDefault="00EB6754" w:rsidP="00CD1DB4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B3040B" w14:textId="77777777" w:rsidR="00D35DDF" w:rsidRDefault="00D35DDF" w:rsidP="002723AC">
      <w:pPr>
        <w:spacing w:after="0" w:line="240" w:lineRule="auto"/>
      </w:pPr>
      <w:r>
        <w:separator/>
      </w:r>
    </w:p>
  </w:endnote>
  <w:endnote w:type="continuationSeparator" w:id="0">
    <w:p w14:paraId="75BF4D96" w14:textId="77777777" w:rsidR="00D35DDF" w:rsidRDefault="00D35DDF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50AE6" w14:textId="77777777" w:rsidR="00D35DDF" w:rsidRDefault="00D35DDF" w:rsidP="002723AC">
      <w:pPr>
        <w:spacing w:after="0" w:line="240" w:lineRule="auto"/>
      </w:pPr>
      <w:r>
        <w:separator/>
      </w:r>
    </w:p>
  </w:footnote>
  <w:footnote w:type="continuationSeparator" w:id="0">
    <w:p w14:paraId="3A19355D" w14:textId="77777777" w:rsidR="00D35DDF" w:rsidRDefault="00D35DDF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817CD"/>
    <w:rsid w:val="00083514"/>
    <w:rsid w:val="00085BB1"/>
    <w:rsid w:val="00086B01"/>
    <w:rsid w:val="00087875"/>
    <w:rsid w:val="000A2BDD"/>
    <w:rsid w:val="000B77AE"/>
    <w:rsid w:val="000C09C7"/>
    <w:rsid w:val="000C1F80"/>
    <w:rsid w:val="000C3A58"/>
    <w:rsid w:val="000C74CA"/>
    <w:rsid w:val="000F05A6"/>
    <w:rsid w:val="000F0BF5"/>
    <w:rsid w:val="000F7230"/>
    <w:rsid w:val="001125F1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040A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E1FEE"/>
    <w:rsid w:val="002F4EC2"/>
    <w:rsid w:val="0030145E"/>
    <w:rsid w:val="00304DD8"/>
    <w:rsid w:val="003105BC"/>
    <w:rsid w:val="00322335"/>
    <w:rsid w:val="00333DA7"/>
    <w:rsid w:val="00334595"/>
    <w:rsid w:val="00337C9F"/>
    <w:rsid w:val="00342A3B"/>
    <w:rsid w:val="00344570"/>
    <w:rsid w:val="00345409"/>
    <w:rsid w:val="0037497B"/>
    <w:rsid w:val="00380E77"/>
    <w:rsid w:val="0039212D"/>
    <w:rsid w:val="003966E7"/>
    <w:rsid w:val="003A607E"/>
    <w:rsid w:val="003A7318"/>
    <w:rsid w:val="003B15BC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492"/>
    <w:rsid w:val="00416869"/>
    <w:rsid w:val="00437003"/>
    <w:rsid w:val="00464718"/>
    <w:rsid w:val="0046527F"/>
    <w:rsid w:val="00477497"/>
    <w:rsid w:val="004826C4"/>
    <w:rsid w:val="004A0A65"/>
    <w:rsid w:val="004A10DD"/>
    <w:rsid w:val="004A5B75"/>
    <w:rsid w:val="004B20C9"/>
    <w:rsid w:val="004B24B8"/>
    <w:rsid w:val="004D239F"/>
    <w:rsid w:val="004D36F4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FC3"/>
    <w:rsid w:val="00572F5C"/>
    <w:rsid w:val="0057581E"/>
    <w:rsid w:val="00582D7D"/>
    <w:rsid w:val="005837C7"/>
    <w:rsid w:val="0058728D"/>
    <w:rsid w:val="005874D5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0029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85C53"/>
    <w:rsid w:val="00890919"/>
    <w:rsid w:val="008C282B"/>
    <w:rsid w:val="008C3F87"/>
    <w:rsid w:val="008C7C84"/>
    <w:rsid w:val="008D35A2"/>
    <w:rsid w:val="008D7C5C"/>
    <w:rsid w:val="008E5BB6"/>
    <w:rsid w:val="008E5C4B"/>
    <w:rsid w:val="008F0B0C"/>
    <w:rsid w:val="008F2449"/>
    <w:rsid w:val="008F28AC"/>
    <w:rsid w:val="008F74FA"/>
    <w:rsid w:val="00921ACA"/>
    <w:rsid w:val="00933DC6"/>
    <w:rsid w:val="00935E1A"/>
    <w:rsid w:val="00940635"/>
    <w:rsid w:val="0094450E"/>
    <w:rsid w:val="009601EF"/>
    <w:rsid w:val="009625AB"/>
    <w:rsid w:val="00966904"/>
    <w:rsid w:val="00972FBF"/>
    <w:rsid w:val="00973012"/>
    <w:rsid w:val="00980023"/>
    <w:rsid w:val="0098502E"/>
    <w:rsid w:val="009A6F4F"/>
    <w:rsid w:val="009B7E0B"/>
    <w:rsid w:val="009C0DC5"/>
    <w:rsid w:val="009C0E9F"/>
    <w:rsid w:val="009D6F00"/>
    <w:rsid w:val="009D73BF"/>
    <w:rsid w:val="009E6AE1"/>
    <w:rsid w:val="009F0E2A"/>
    <w:rsid w:val="009F232D"/>
    <w:rsid w:val="009F74B3"/>
    <w:rsid w:val="00A06020"/>
    <w:rsid w:val="00A10051"/>
    <w:rsid w:val="00A1059A"/>
    <w:rsid w:val="00A156EB"/>
    <w:rsid w:val="00A30EBA"/>
    <w:rsid w:val="00A32E82"/>
    <w:rsid w:val="00A334EE"/>
    <w:rsid w:val="00A34F6B"/>
    <w:rsid w:val="00A366F6"/>
    <w:rsid w:val="00A37519"/>
    <w:rsid w:val="00A375AE"/>
    <w:rsid w:val="00A40582"/>
    <w:rsid w:val="00A431C6"/>
    <w:rsid w:val="00A642DC"/>
    <w:rsid w:val="00A64876"/>
    <w:rsid w:val="00A6669B"/>
    <w:rsid w:val="00A7030D"/>
    <w:rsid w:val="00A7585E"/>
    <w:rsid w:val="00A77FED"/>
    <w:rsid w:val="00A80576"/>
    <w:rsid w:val="00A832E0"/>
    <w:rsid w:val="00A92DA6"/>
    <w:rsid w:val="00A94E7C"/>
    <w:rsid w:val="00AA4E59"/>
    <w:rsid w:val="00AA5437"/>
    <w:rsid w:val="00AB2A70"/>
    <w:rsid w:val="00AC06A5"/>
    <w:rsid w:val="00AC2C1D"/>
    <w:rsid w:val="00AC5844"/>
    <w:rsid w:val="00AC6DA7"/>
    <w:rsid w:val="00AC7671"/>
    <w:rsid w:val="00AD5878"/>
    <w:rsid w:val="00AF4B6B"/>
    <w:rsid w:val="00B07177"/>
    <w:rsid w:val="00B15766"/>
    <w:rsid w:val="00B20C12"/>
    <w:rsid w:val="00B40D81"/>
    <w:rsid w:val="00B6554E"/>
    <w:rsid w:val="00B7584A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302BC"/>
    <w:rsid w:val="00C31FD7"/>
    <w:rsid w:val="00C42018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A7F93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35DDF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16EAB"/>
    <w:rsid w:val="00F26DAC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612E"/>
    <w:rsid w:val="00FA1D46"/>
    <w:rsid w:val="00FA21D2"/>
    <w:rsid w:val="00FA37B9"/>
    <w:rsid w:val="00FA7FC9"/>
    <w:rsid w:val="00FB0279"/>
    <w:rsid w:val="00FB2353"/>
    <w:rsid w:val="00FB73E7"/>
    <w:rsid w:val="00FC1CCC"/>
    <w:rsid w:val="00FC2870"/>
    <w:rsid w:val="00FD051B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</Pages>
  <Words>712</Words>
  <Characters>4276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302</cp:revision>
  <dcterms:created xsi:type="dcterms:W3CDTF">2019-08-23T07:16:00Z</dcterms:created>
  <dcterms:modified xsi:type="dcterms:W3CDTF">2021-06-30T07:09:00Z</dcterms:modified>
</cp:coreProperties>
</file>