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0B739" w14:textId="7C01CB69" w:rsidR="004B5B3C" w:rsidRPr="00C86639" w:rsidRDefault="004B5B3C" w:rsidP="001F748F">
      <w:pPr>
        <w:pStyle w:val="Bezodstpw"/>
        <w:rPr>
          <w:rFonts w:ascii="Arial" w:hAnsi="Arial" w:cs="Arial"/>
          <w:b/>
          <w:bCs/>
          <w:sz w:val="26"/>
          <w:szCs w:val="26"/>
          <w:lang w:eastAsia="pl-PL"/>
        </w:rPr>
      </w:pPr>
      <w:r w:rsidRPr="00C86639">
        <w:rPr>
          <w:rFonts w:ascii="Arial" w:hAnsi="Arial" w:cs="Arial"/>
          <w:sz w:val="20"/>
          <w:szCs w:val="20"/>
          <w:lang w:eastAsia="pl-PL"/>
        </w:rPr>
        <w:t xml:space="preserve">Informacja prasowa: </w:t>
      </w:r>
      <w:r w:rsidR="008866C7">
        <w:rPr>
          <w:rFonts w:ascii="Arial" w:hAnsi="Arial" w:cs="Arial"/>
          <w:sz w:val="20"/>
          <w:szCs w:val="20"/>
          <w:lang w:eastAsia="pl-PL"/>
        </w:rPr>
        <w:t>27</w:t>
      </w:r>
      <w:r w:rsidRPr="00C86639">
        <w:rPr>
          <w:rFonts w:ascii="Arial" w:hAnsi="Arial" w:cs="Arial"/>
          <w:sz w:val="20"/>
          <w:szCs w:val="20"/>
          <w:lang w:eastAsia="pl-PL"/>
        </w:rPr>
        <w:t>-</w:t>
      </w:r>
      <w:r w:rsidR="00E86117" w:rsidRPr="00C86639">
        <w:rPr>
          <w:rFonts w:ascii="Arial" w:hAnsi="Arial" w:cs="Arial"/>
          <w:sz w:val="20"/>
          <w:szCs w:val="20"/>
          <w:lang w:eastAsia="pl-PL"/>
        </w:rPr>
        <w:t>1</w:t>
      </w:r>
      <w:r w:rsidR="00A44958">
        <w:rPr>
          <w:rFonts w:ascii="Arial" w:hAnsi="Arial" w:cs="Arial"/>
          <w:sz w:val="20"/>
          <w:szCs w:val="20"/>
          <w:lang w:eastAsia="pl-PL"/>
        </w:rPr>
        <w:t>2</w:t>
      </w:r>
      <w:r w:rsidRPr="00C86639">
        <w:rPr>
          <w:rFonts w:ascii="Arial" w:hAnsi="Arial" w:cs="Arial"/>
          <w:sz w:val="20"/>
          <w:szCs w:val="20"/>
          <w:lang w:eastAsia="pl-PL"/>
        </w:rPr>
        <w:t>-2022, Kraków</w:t>
      </w:r>
      <w:r w:rsidRPr="00C86639">
        <w:rPr>
          <w:rFonts w:ascii="Arial" w:hAnsi="Arial" w:cs="Arial"/>
          <w:sz w:val="20"/>
          <w:szCs w:val="20"/>
          <w:lang w:eastAsia="pl-PL"/>
        </w:rPr>
        <w:br/>
        <w:t>Biuro Prasowe Gemini Holding</w:t>
      </w:r>
      <w:r w:rsidRPr="00C86639">
        <w:rPr>
          <w:rFonts w:ascii="Arial" w:hAnsi="Arial" w:cs="Arial"/>
          <w:sz w:val="20"/>
          <w:szCs w:val="20"/>
          <w:lang w:eastAsia="pl-PL"/>
        </w:rPr>
        <w:br/>
        <w:t>Tomasz Pietrzak/Guarana Public Relations</w:t>
      </w:r>
      <w:r w:rsidRPr="00C86639">
        <w:rPr>
          <w:rFonts w:ascii="Arial" w:hAnsi="Arial" w:cs="Arial"/>
          <w:sz w:val="20"/>
          <w:szCs w:val="20"/>
          <w:lang w:eastAsia="pl-PL"/>
        </w:rPr>
        <w:br/>
        <w:t>tel. 509 106 256 mail. tomasz.pietrzak[at]guaranapr.pl</w:t>
      </w:r>
    </w:p>
    <w:p w14:paraId="13B15548" w14:textId="653A3A98" w:rsidR="004B5B3C" w:rsidRDefault="004B5B3C" w:rsidP="001F748F">
      <w:pPr>
        <w:pStyle w:val="Bezodstpw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05E6D17C" w14:textId="77777777" w:rsidR="00D62761" w:rsidRDefault="00D62761" w:rsidP="001F748F">
      <w:pPr>
        <w:pStyle w:val="Bezodstpw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3D439E00" w14:textId="17785B72" w:rsidR="004B5B3C" w:rsidRDefault="00D62761" w:rsidP="00D62761">
      <w:pPr>
        <w:pStyle w:val="Bezodstpw"/>
        <w:jc w:val="center"/>
        <w:rPr>
          <w:rFonts w:ascii="Arial" w:hAnsi="Arial" w:cs="Arial"/>
          <w:b/>
          <w:bCs/>
          <w:sz w:val="28"/>
          <w:szCs w:val="28"/>
          <w:lang w:eastAsia="pl-PL"/>
        </w:rPr>
      </w:pPr>
      <w:r>
        <w:rPr>
          <w:rFonts w:ascii="Arial" w:hAnsi="Arial" w:cs="Arial"/>
          <w:b/>
          <w:bCs/>
          <w:sz w:val="28"/>
          <w:szCs w:val="28"/>
          <w:lang w:eastAsia="pl-PL"/>
        </w:rPr>
        <w:t xml:space="preserve">2022 </w:t>
      </w:r>
      <w:r w:rsidR="00A932CF">
        <w:rPr>
          <w:rFonts w:ascii="Arial" w:hAnsi="Arial" w:cs="Arial"/>
          <w:b/>
          <w:bCs/>
          <w:sz w:val="28"/>
          <w:szCs w:val="28"/>
          <w:lang w:eastAsia="pl-PL"/>
        </w:rPr>
        <w:t xml:space="preserve">był </w:t>
      </w:r>
      <w:r>
        <w:rPr>
          <w:rFonts w:ascii="Arial" w:hAnsi="Arial" w:cs="Arial"/>
          <w:b/>
          <w:bCs/>
          <w:sz w:val="28"/>
          <w:szCs w:val="28"/>
          <w:lang w:eastAsia="pl-PL"/>
        </w:rPr>
        <w:t>dobry dla rynku retail, ale wyzwań coraz więcej</w:t>
      </w:r>
    </w:p>
    <w:p w14:paraId="03F4E678" w14:textId="77777777" w:rsidR="00D62761" w:rsidRDefault="00D62761" w:rsidP="00D62761">
      <w:pPr>
        <w:pStyle w:val="Bezodstpw"/>
        <w:jc w:val="center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44B222A7" w14:textId="77777777" w:rsidR="00A44958" w:rsidRDefault="00A44958" w:rsidP="00A44958">
      <w:pPr>
        <w:pStyle w:val="Bezodstpw"/>
      </w:pPr>
    </w:p>
    <w:p w14:paraId="00E849A6" w14:textId="5F4B6E5B" w:rsidR="00A44958" w:rsidRPr="00A44958" w:rsidRDefault="00A44958" w:rsidP="00A44958">
      <w:pPr>
        <w:pStyle w:val="Bezodstpw"/>
        <w:jc w:val="both"/>
        <w:rPr>
          <w:rFonts w:ascii="Arial" w:hAnsi="Arial" w:cs="Arial"/>
          <w:b/>
          <w:bCs/>
        </w:rPr>
      </w:pPr>
      <w:r w:rsidRPr="00A44958">
        <w:rPr>
          <w:rFonts w:ascii="Arial" w:hAnsi="Arial" w:cs="Arial"/>
          <w:b/>
          <w:bCs/>
        </w:rPr>
        <w:t xml:space="preserve">W jakiej kondycji jest dziś rynek </w:t>
      </w:r>
      <w:r w:rsidR="00D62761">
        <w:rPr>
          <w:rFonts w:ascii="Arial" w:hAnsi="Arial" w:cs="Arial"/>
          <w:b/>
          <w:bCs/>
        </w:rPr>
        <w:t xml:space="preserve">centrów handlowych </w:t>
      </w:r>
      <w:r w:rsidRPr="00A44958">
        <w:rPr>
          <w:rFonts w:ascii="Arial" w:hAnsi="Arial" w:cs="Arial"/>
          <w:b/>
          <w:bCs/>
        </w:rPr>
        <w:t>oraz jak wpływają na niego kolejne zewnętrz</w:t>
      </w:r>
      <w:r w:rsidR="00D62761">
        <w:rPr>
          <w:rFonts w:ascii="Arial" w:hAnsi="Arial" w:cs="Arial"/>
          <w:b/>
          <w:bCs/>
        </w:rPr>
        <w:t>n</w:t>
      </w:r>
      <w:r w:rsidRPr="00A44958">
        <w:rPr>
          <w:rFonts w:ascii="Arial" w:hAnsi="Arial" w:cs="Arial"/>
          <w:b/>
          <w:bCs/>
        </w:rPr>
        <w:t>e kryzysy, z którymi musi się mierzyć</w:t>
      </w:r>
      <w:r w:rsidR="00D62761">
        <w:rPr>
          <w:rFonts w:ascii="Arial" w:hAnsi="Arial" w:cs="Arial"/>
          <w:b/>
          <w:bCs/>
        </w:rPr>
        <w:t>?</w:t>
      </w:r>
      <w:r w:rsidRPr="00A44958">
        <w:rPr>
          <w:rFonts w:ascii="Arial" w:hAnsi="Arial" w:cs="Arial"/>
          <w:b/>
          <w:bCs/>
        </w:rPr>
        <w:t xml:space="preserve"> </w:t>
      </w:r>
      <w:r w:rsidR="00D62761">
        <w:rPr>
          <w:rFonts w:ascii="Arial" w:hAnsi="Arial" w:cs="Arial"/>
          <w:b/>
          <w:bCs/>
        </w:rPr>
        <w:t>Komentuje Anna Malcharek</w:t>
      </w:r>
      <w:r w:rsidRPr="00A44958">
        <w:rPr>
          <w:rFonts w:ascii="Arial" w:hAnsi="Arial" w:cs="Arial"/>
          <w:b/>
          <w:bCs/>
        </w:rPr>
        <w:t>, dyrektor zarządzając</w:t>
      </w:r>
      <w:r w:rsidR="00D62761">
        <w:rPr>
          <w:rFonts w:ascii="Arial" w:hAnsi="Arial" w:cs="Arial"/>
          <w:b/>
          <w:bCs/>
        </w:rPr>
        <w:t>a</w:t>
      </w:r>
      <w:r w:rsidRPr="00A44958">
        <w:rPr>
          <w:rFonts w:ascii="Arial" w:hAnsi="Arial" w:cs="Arial"/>
          <w:b/>
          <w:bCs/>
        </w:rPr>
        <w:t xml:space="preserve"> Gemini Holding.</w:t>
      </w:r>
    </w:p>
    <w:p w14:paraId="6A5E04C6" w14:textId="77777777" w:rsidR="00A44958" w:rsidRPr="00A44958" w:rsidRDefault="00A44958" w:rsidP="00A44958">
      <w:pPr>
        <w:pStyle w:val="Bezodstpw"/>
        <w:rPr>
          <w:rFonts w:ascii="Arial" w:hAnsi="Arial" w:cs="Arial"/>
          <w:sz w:val="20"/>
          <w:szCs w:val="20"/>
        </w:rPr>
      </w:pPr>
    </w:p>
    <w:p w14:paraId="33C94490" w14:textId="77777777" w:rsidR="00A44958" w:rsidRPr="00A44958" w:rsidRDefault="00A44958" w:rsidP="00A44958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4B581D95" w14:textId="6A2622E5" w:rsidR="00A44958" w:rsidRPr="00A44958" w:rsidRDefault="00A44958" w:rsidP="00F374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44958">
        <w:rPr>
          <w:rFonts w:ascii="Arial" w:hAnsi="Arial" w:cs="Arial"/>
          <w:b/>
          <w:bCs/>
          <w:sz w:val="20"/>
          <w:szCs w:val="20"/>
        </w:rPr>
        <w:t>Ostatnie 3 lata były trudne dla rynku centrów handlowych. 2022 rok dołożył kolejne wyzwania w postaci m.in. kryzysu energetycznego, inflacji</w:t>
      </w:r>
      <w:r w:rsidR="00BB58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A44958">
        <w:rPr>
          <w:rFonts w:ascii="Arial" w:hAnsi="Arial" w:cs="Arial"/>
          <w:b/>
          <w:bCs/>
          <w:sz w:val="20"/>
          <w:szCs w:val="20"/>
        </w:rPr>
        <w:t>czy ekonomicznych skutków COVID-19</w:t>
      </w:r>
      <w:r w:rsidR="00BB58E3">
        <w:rPr>
          <w:rFonts w:ascii="Arial" w:hAnsi="Arial" w:cs="Arial"/>
          <w:b/>
          <w:bCs/>
          <w:sz w:val="20"/>
          <w:szCs w:val="20"/>
        </w:rPr>
        <w:t xml:space="preserve"> i wojny w Ukrainie</w:t>
      </w:r>
      <w:r w:rsidRPr="00A44958">
        <w:rPr>
          <w:rFonts w:ascii="Arial" w:hAnsi="Arial" w:cs="Arial"/>
          <w:b/>
          <w:bCs/>
          <w:sz w:val="20"/>
          <w:szCs w:val="20"/>
        </w:rPr>
        <w:t>. Czy w tym otoczeniu rynek może mówić o rozwoju, czy inwestorzy jednak mówią „stop”?</w:t>
      </w:r>
    </w:p>
    <w:p w14:paraId="0E73ABBB" w14:textId="77777777" w:rsidR="00A44958" w:rsidRPr="00A44958" w:rsidRDefault="00A44958" w:rsidP="00F374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8A41FE" w14:textId="4ED10634" w:rsidR="00A44958" w:rsidRPr="00A44958" w:rsidRDefault="00A44958" w:rsidP="00F374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4958">
        <w:rPr>
          <w:rFonts w:ascii="Arial" w:hAnsi="Arial" w:cs="Arial"/>
          <w:b/>
          <w:bCs/>
          <w:sz w:val="20"/>
          <w:szCs w:val="20"/>
        </w:rPr>
        <w:t>Anna Malcharek:</w:t>
      </w:r>
      <w:r>
        <w:rPr>
          <w:rFonts w:ascii="Arial" w:hAnsi="Arial" w:cs="Arial"/>
          <w:sz w:val="20"/>
          <w:szCs w:val="20"/>
        </w:rPr>
        <w:t xml:space="preserve"> </w:t>
      </w:r>
      <w:r w:rsidRPr="00A44958">
        <w:rPr>
          <w:rFonts w:ascii="Arial" w:hAnsi="Arial" w:cs="Arial"/>
          <w:sz w:val="20"/>
          <w:szCs w:val="20"/>
        </w:rPr>
        <w:t>Mijający rok z całą pewnością dołożył zmartwień inwestorom i zarządcom centrów handlowych. Część inwestycji została zarzucona lub zamrożona na lepsze czasy. Znaczna część jednak jest w toku i w porównaniu do lat 2020-2021 możemy mówić o ożywieniu. Zwłaszcza</w:t>
      </w:r>
      <w:r w:rsidR="008866C7">
        <w:rPr>
          <w:rFonts w:ascii="Arial" w:hAnsi="Arial" w:cs="Arial"/>
          <w:sz w:val="20"/>
          <w:szCs w:val="20"/>
        </w:rPr>
        <w:t>,</w:t>
      </w:r>
      <w:r w:rsidRPr="00A44958">
        <w:rPr>
          <w:rFonts w:ascii="Arial" w:hAnsi="Arial" w:cs="Arial"/>
          <w:sz w:val="20"/>
          <w:szCs w:val="20"/>
        </w:rPr>
        <w:t xml:space="preserve"> jeśli spojrzeć na dane PRCH. Dziś w budowie jest ok. 390 tys. m kw. nowej powierzchni handlowej. Tylko w I połowie tego roku oddano do użytku ok. 97 tys. m kw. Szacuje się, że na koniec tego roku nasycenie powierzchnią handlową wynosić będzie 334 m kw. na 1000 mieszkańców, a po zakończeniu trwających inwestycji aż 345 m kw. na 1000 mieszkańców. Rynek więc rośnie, zwłaszcza w segmencie convenience, który wykazuje się dziś największą aktywnością inwestycyjną. W Polsce powstaje coraz więcej parków handlowych.</w:t>
      </w:r>
    </w:p>
    <w:p w14:paraId="29F0BA56" w14:textId="77777777" w:rsidR="00A44958" w:rsidRDefault="00A44958" w:rsidP="00F374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5129008" w14:textId="401596E6" w:rsidR="00A44958" w:rsidRDefault="00A44958" w:rsidP="00F374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44958">
        <w:rPr>
          <w:rFonts w:ascii="Arial" w:hAnsi="Arial" w:cs="Arial"/>
          <w:b/>
          <w:bCs/>
          <w:sz w:val="20"/>
          <w:szCs w:val="20"/>
        </w:rPr>
        <w:t>Convenience inwestuje, a jak miewają się centra handlowe od lat obecne na rynku?</w:t>
      </w:r>
    </w:p>
    <w:p w14:paraId="174ABD44" w14:textId="77777777" w:rsidR="00A44958" w:rsidRPr="00A44958" w:rsidRDefault="00A44958" w:rsidP="00F374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42C45D1" w14:textId="0E3235A9" w:rsidR="00A44958" w:rsidRPr="00A44958" w:rsidRDefault="00A44958" w:rsidP="00F374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4958">
        <w:rPr>
          <w:rFonts w:ascii="Arial" w:hAnsi="Arial" w:cs="Arial"/>
          <w:b/>
          <w:bCs/>
          <w:sz w:val="20"/>
          <w:szCs w:val="20"/>
        </w:rPr>
        <w:t>Anna Malcharek:</w:t>
      </w:r>
      <w:r>
        <w:rPr>
          <w:rFonts w:ascii="Arial" w:hAnsi="Arial" w:cs="Arial"/>
          <w:sz w:val="20"/>
          <w:szCs w:val="20"/>
        </w:rPr>
        <w:t xml:space="preserve"> </w:t>
      </w:r>
      <w:r w:rsidRPr="00A44958">
        <w:rPr>
          <w:rFonts w:ascii="Arial" w:hAnsi="Arial" w:cs="Arial"/>
          <w:sz w:val="20"/>
          <w:szCs w:val="20"/>
        </w:rPr>
        <w:t>Zdecydowanie lepiej niż jeszcze 1,5 roku temu. Rynek wychodzi z szoku pandemicznego i</w:t>
      </w:r>
      <w:r w:rsidR="00CD2EBE">
        <w:rPr>
          <w:rFonts w:ascii="Arial" w:hAnsi="Arial" w:cs="Arial"/>
          <w:sz w:val="20"/>
          <w:szCs w:val="20"/>
        </w:rPr>
        <w:t xml:space="preserve"> ostrożnie podchodzi do kolejnych </w:t>
      </w:r>
      <w:r w:rsidR="00BB58E3">
        <w:rPr>
          <w:rFonts w:ascii="Arial" w:hAnsi="Arial" w:cs="Arial"/>
          <w:sz w:val="20"/>
          <w:szCs w:val="20"/>
        </w:rPr>
        <w:t xml:space="preserve">wyzwań. </w:t>
      </w:r>
      <w:r w:rsidRPr="00A44958">
        <w:rPr>
          <w:rFonts w:ascii="Arial" w:hAnsi="Arial" w:cs="Arial"/>
          <w:sz w:val="20"/>
          <w:szCs w:val="20"/>
        </w:rPr>
        <w:t xml:space="preserve">Obserwuje się dość duże ożywienie w komercjalizacji. </w:t>
      </w:r>
      <w:r w:rsidR="008866C7">
        <w:rPr>
          <w:rFonts w:ascii="Arial" w:hAnsi="Arial" w:cs="Arial"/>
          <w:sz w:val="20"/>
          <w:szCs w:val="20"/>
        </w:rPr>
        <w:t>Jak czytamy w raporcie PRCH Reasearch Forum w</w:t>
      </w:r>
      <w:r w:rsidRPr="00A44958">
        <w:rPr>
          <w:rFonts w:ascii="Arial" w:hAnsi="Arial" w:cs="Arial"/>
          <w:sz w:val="20"/>
          <w:szCs w:val="20"/>
        </w:rPr>
        <w:t xml:space="preserve"> 7 z 9 kluczowych dla handlu regionach obserwujemy spadek liczby pustostanów, na co wpływ ma ożywienie na rynku konsumenckim i większa skłonność do rozwoju sieci sprzedaży po stronie marek. Na koniec I kwartału mieliśmy w Polsce ok. 4,6% niewynajętej powierzchni. Widać to także w skali mikro, chociażby w obiektach z portfolio Gemini Holding. W 2022 roku nasze największe centrum - Gemini Park Tarnów – </w:t>
      </w:r>
      <w:r w:rsidR="00D62761">
        <w:rPr>
          <w:rFonts w:ascii="Arial" w:hAnsi="Arial" w:cs="Arial"/>
          <w:sz w:val="20"/>
          <w:szCs w:val="20"/>
        </w:rPr>
        <w:t>osiągnęło</w:t>
      </w:r>
      <w:r w:rsidRPr="00A44958">
        <w:rPr>
          <w:rFonts w:ascii="Arial" w:hAnsi="Arial" w:cs="Arial"/>
          <w:sz w:val="20"/>
          <w:szCs w:val="20"/>
        </w:rPr>
        <w:t xml:space="preserve"> poziom 100% komercjalizacji. Inny obiekt, Gemini Park Tychy, zakończył natomiast swoją rozbudowę, a także pozyskał operatora kinowego – Multikino. We wszystkich trzech centrach </w:t>
      </w:r>
      <w:r w:rsidR="008866C7">
        <w:rPr>
          <w:rFonts w:ascii="Arial" w:hAnsi="Arial" w:cs="Arial"/>
          <w:sz w:val="20"/>
          <w:szCs w:val="20"/>
        </w:rPr>
        <w:t>podpisaliśmy</w:t>
      </w:r>
      <w:r w:rsidRPr="00A44958">
        <w:rPr>
          <w:rFonts w:ascii="Arial" w:hAnsi="Arial" w:cs="Arial"/>
          <w:sz w:val="20"/>
          <w:szCs w:val="20"/>
        </w:rPr>
        <w:t xml:space="preserve"> natomiast aż </w:t>
      </w:r>
      <w:r w:rsidR="00855AA6">
        <w:rPr>
          <w:rFonts w:ascii="Arial" w:hAnsi="Arial" w:cs="Arial"/>
          <w:sz w:val="20"/>
          <w:szCs w:val="20"/>
        </w:rPr>
        <w:t>2</w:t>
      </w:r>
      <w:r w:rsidR="008866C7">
        <w:rPr>
          <w:rFonts w:ascii="Arial" w:hAnsi="Arial" w:cs="Arial"/>
          <w:sz w:val="20"/>
          <w:szCs w:val="20"/>
        </w:rPr>
        <w:t>4</w:t>
      </w:r>
      <w:r w:rsidRPr="00A44958">
        <w:rPr>
          <w:rFonts w:ascii="Arial" w:hAnsi="Arial" w:cs="Arial"/>
          <w:sz w:val="20"/>
          <w:szCs w:val="20"/>
        </w:rPr>
        <w:t xml:space="preserve"> </w:t>
      </w:r>
      <w:r w:rsidR="008866C7">
        <w:rPr>
          <w:rFonts w:ascii="Arial" w:hAnsi="Arial" w:cs="Arial"/>
          <w:sz w:val="20"/>
          <w:szCs w:val="20"/>
        </w:rPr>
        <w:t>nowe umowy</w:t>
      </w:r>
      <w:r w:rsidR="00032396">
        <w:rPr>
          <w:rFonts w:ascii="Arial" w:hAnsi="Arial" w:cs="Arial"/>
          <w:sz w:val="20"/>
          <w:szCs w:val="20"/>
        </w:rPr>
        <w:t>, czyli więcej niż przed rokiem.</w:t>
      </w:r>
    </w:p>
    <w:p w14:paraId="3280EDAA" w14:textId="77777777" w:rsidR="00A44958" w:rsidRDefault="00A44958" w:rsidP="00F374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17F44A2" w14:textId="12C231A8" w:rsidR="00A44958" w:rsidRDefault="00A44958" w:rsidP="00F374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44958">
        <w:rPr>
          <w:rFonts w:ascii="Arial" w:hAnsi="Arial" w:cs="Arial"/>
          <w:b/>
          <w:bCs/>
          <w:sz w:val="20"/>
          <w:szCs w:val="20"/>
        </w:rPr>
        <w:t>Na horyzoncie jednak rysuje się widmo kryzysu energetycznego. Dotknie on branżę?</w:t>
      </w:r>
    </w:p>
    <w:p w14:paraId="3EF7B633" w14:textId="77777777" w:rsidR="00A44958" w:rsidRPr="00A44958" w:rsidRDefault="00A44958" w:rsidP="00F374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A78CF4C" w14:textId="37414A45" w:rsidR="00A44958" w:rsidRPr="00A44958" w:rsidRDefault="00A44958" w:rsidP="00F374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4958">
        <w:rPr>
          <w:rFonts w:ascii="Arial" w:hAnsi="Arial" w:cs="Arial"/>
          <w:b/>
          <w:bCs/>
          <w:sz w:val="20"/>
          <w:szCs w:val="20"/>
        </w:rPr>
        <w:t>Anna Malcharek:</w:t>
      </w:r>
      <w:r>
        <w:rPr>
          <w:rFonts w:ascii="Arial" w:hAnsi="Arial" w:cs="Arial"/>
          <w:sz w:val="20"/>
          <w:szCs w:val="20"/>
        </w:rPr>
        <w:t xml:space="preserve"> </w:t>
      </w:r>
      <w:r w:rsidRPr="00A44958">
        <w:rPr>
          <w:rFonts w:ascii="Arial" w:hAnsi="Arial" w:cs="Arial"/>
          <w:sz w:val="20"/>
          <w:szCs w:val="20"/>
        </w:rPr>
        <w:t xml:space="preserve">Tu wiele zależy od czynników politycznych, na które </w:t>
      </w:r>
      <w:r w:rsidR="00D62761">
        <w:rPr>
          <w:rFonts w:ascii="Arial" w:hAnsi="Arial" w:cs="Arial"/>
          <w:sz w:val="20"/>
          <w:szCs w:val="20"/>
        </w:rPr>
        <w:t>jako</w:t>
      </w:r>
      <w:r w:rsidRPr="00A44958">
        <w:rPr>
          <w:rFonts w:ascii="Arial" w:hAnsi="Arial" w:cs="Arial"/>
          <w:sz w:val="20"/>
          <w:szCs w:val="20"/>
        </w:rPr>
        <w:t xml:space="preserve"> branża nie mamy wpływu. Rynek jest jednak dobrze przygotowany i nie chodzi tylko o doraźne rozwiązania, o których słyszy się wiele w ostatnich miesiącach. Centra handlowe od lat inwestują w rozwiązania energooszczędne i odnawialne źródła energii</w:t>
      </w:r>
      <w:r w:rsidR="00D62761">
        <w:rPr>
          <w:rFonts w:ascii="Arial" w:hAnsi="Arial" w:cs="Arial"/>
          <w:sz w:val="20"/>
          <w:szCs w:val="20"/>
        </w:rPr>
        <w:t xml:space="preserve">. Teraz </w:t>
      </w:r>
      <w:r w:rsidRPr="00A44958">
        <w:rPr>
          <w:rFonts w:ascii="Arial" w:hAnsi="Arial" w:cs="Arial"/>
          <w:sz w:val="20"/>
          <w:szCs w:val="20"/>
        </w:rPr>
        <w:t xml:space="preserve">po prostu sięgają do tego eko-potencjału, który wypracowały w ostatnich latach lub – co często się obserwuje – przyspieszają inwestycje np. w OZE. Nie ma więc paniki, tym bardziej, że dostosowywanie się centów handlowych do dyrektyw unijnych dotyczących m.in. zmniejszenia emisji dwutlenku węgla, wiąże się także z wdrażaniem rozwiązań mających na celu </w:t>
      </w:r>
      <w:r w:rsidR="00D62761">
        <w:rPr>
          <w:rFonts w:ascii="Arial" w:hAnsi="Arial" w:cs="Arial"/>
          <w:sz w:val="20"/>
          <w:szCs w:val="20"/>
        </w:rPr>
        <w:t>minimalizację</w:t>
      </w:r>
      <w:r w:rsidRPr="00A44958">
        <w:rPr>
          <w:rFonts w:ascii="Arial" w:hAnsi="Arial" w:cs="Arial"/>
          <w:sz w:val="20"/>
          <w:szCs w:val="20"/>
        </w:rPr>
        <w:t xml:space="preserve"> zużycia energii. Do tego energooszczędność jest jednym z priorytetów większości wdrażanych dziś na rynku strategii ESG. Tak jest np. w centrach Gemini Park, gdzie solidne fundamenty zawarte w naszej strategii teraz wzmocniliśmy tylko dodatkowymi, „awaryjnymi” działaniami. Pracujemy także nad kolejnymi rozwiązaniami, do których skłania nas nie tylko kryzys energetyczny, ale przede wszystkim globalny kryzys klimatyczny.</w:t>
      </w:r>
    </w:p>
    <w:p w14:paraId="505309BD" w14:textId="77777777" w:rsidR="00A44958" w:rsidRDefault="00A44958" w:rsidP="00F374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BCC17EF" w14:textId="1ED31639" w:rsidR="00A44958" w:rsidRDefault="00A44958" w:rsidP="00F374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44958">
        <w:rPr>
          <w:rFonts w:ascii="Arial" w:hAnsi="Arial" w:cs="Arial"/>
          <w:b/>
          <w:bCs/>
          <w:sz w:val="20"/>
          <w:szCs w:val="20"/>
        </w:rPr>
        <w:t xml:space="preserve">Idąc dalej w </w:t>
      </w:r>
      <w:r>
        <w:rPr>
          <w:rFonts w:ascii="Arial" w:hAnsi="Arial" w:cs="Arial"/>
          <w:b/>
          <w:bCs/>
          <w:sz w:val="20"/>
          <w:szCs w:val="20"/>
        </w:rPr>
        <w:t>„</w:t>
      </w:r>
      <w:r w:rsidRPr="00A44958">
        <w:rPr>
          <w:rFonts w:ascii="Arial" w:hAnsi="Arial" w:cs="Arial"/>
          <w:b/>
          <w:bCs/>
          <w:sz w:val="20"/>
          <w:szCs w:val="20"/>
        </w:rPr>
        <w:t>katalogu</w:t>
      </w:r>
      <w:r>
        <w:rPr>
          <w:rFonts w:ascii="Arial" w:hAnsi="Arial" w:cs="Arial"/>
          <w:b/>
          <w:bCs/>
          <w:sz w:val="20"/>
          <w:szCs w:val="20"/>
        </w:rPr>
        <w:t>”</w:t>
      </w:r>
      <w:r w:rsidRPr="00A44958">
        <w:rPr>
          <w:rFonts w:ascii="Arial" w:hAnsi="Arial" w:cs="Arial"/>
          <w:b/>
          <w:bCs/>
          <w:sz w:val="20"/>
          <w:szCs w:val="20"/>
        </w:rPr>
        <w:t xml:space="preserve"> kryzysów – inflacja. Klienci kupują</w:t>
      </w:r>
      <w:r>
        <w:rPr>
          <w:rFonts w:ascii="Arial" w:hAnsi="Arial" w:cs="Arial"/>
          <w:b/>
          <w:bCs/>
          <w:sz w:val="20"/>
          <w:szCs w:val="20"/>
        </w:rPr>
        <w:t xml:space="preserve"> w galeriach</w:t>
      </w:r>
      <w:r w:rsidRPr="00A44958">
        <w:rPr>
          <w:rFonts w:ascii="Arial" w:hAnsi="Arial" w:cs="Arial"/>
          <w:b/>
          <w:bCs/>
          <w:sz w:val="20"/>
          <w:szCs w:val="20"/>
        </w:rPr>
        <w:t xml:space="preserve"> czy jednak oszczędzają i coraz mocniej zaciskają pasa.</w:t>
      </w:r>
    </w:p>
    <w:p w14:paraId="23085C1B" w14:textId="77777777" w:rsidR="00A44958" w:rsidRPr="00A44958" w:rsidRDefault="00A44958" w:rsidP="00F374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4FB70B9" w14:textId="24FF22A3" w:rsidR="00A44958" w:rsidRDefault="00A44958" w:rsidP="00F374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4958">
        <w:rPr>
          <w:rFonts w:ascii="Arial" w:hAnsi="Arial" w:cs="Arial"/>
          <w:b/>
          <w:bCs/>
          <w:sz w:val="20"/>
          <w:szCs w:val="20"/>
        </w:rPr>
        <w:t>Anna Malcharek:</w:t>
      </w:r>
      <w:r>
        <w:rPr>
          <w:rFonts w:ascii="Arial" w:hAnsi="Arial" w:cs="Arial"/>
          <w:sz w:val="20"/>
          <w:szCs w:val="20"/>
        </w:rPr>
        <w:t xml:space="preserve"> </w:t>
      </w:r>
      <w:r w:rsidRPr="00A44958">
        <w:rPr>
          <w:rFonts w:ascii="Arial" w:hAnsi="Arial" w:cs="Arial"/>
          <w:sz w:val="20"/>
          <w:szCs w:val="20"/>
        </w:rPr>
        <w:t xml:space="preserve">Na pewno klient centrum handlowego stał się bardziej ostrożny w swoich wyborach, kieruje się znów ceną i okazjami, szuka oszczędności niemal w każdej kategorii kupowanych produktów, jednak nie rezygnuje całkowicie z zakupów w galerii. Odzwierciedlają to indeksy rynkowe. Najnowsze dane PRCH dla całej branży, dotyczące sierpnia br., pokazują wzrost obrotów </w:t>
      </w:r>
      <w:r w:rsidR="009313B4">
        <w:rPr>
          <w:rFonts w:ascii="Arial" w:hAnsi="Arial" w:cs="Arial"/>
          <w:sz w:val="20"/>
          <w:szCs w:val="20"/>
        </w:rPr>
        <w:t>prawie</w:t>
      </w:r>
      <w:r w:rsidRPr="00A44958">
        <w:rPr>
          <w:rFonts w:ascii="Arial" w:hAnsi="Arial" w:cs="Arial"/>
          <w:sz w:val="20"/>
          <w:szCs w:val="20"/>
        </w:rPr>
        <w:t xml:space="preserve"> o 20% względem sierpnia 2019. Owszem, na ten wynik ma wpływ też wzrost cen, ale mimo to, widać, że skłonność do zostawiania pieniędzy w galeriach nie maleje wśród konsumentów. To dobry sygnał, chociaż sytuacja tutaj może ulec zmianie, jeśli inflacja będzie rosła lub zostanie z nami na dłużej. W badaniu Global State of Consumer Tracker Deloitte, które opublikowano pod koniec listopada, aż 60% Polaków obawia się dalszego wzrostu cen z powodu inflacji. </w:t>
      </w:r>
    </w:p>
    <w:p w14:paraId="188497EC" w14:textId="48F9D428" w:rsidR="0048144B" w:rsidRDefault="0048144B" w:rsidP="00F374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4CE36A" w14:textId="0D83CE3D" w:rsidR="0048144B" w:rsidRPr="00BB58E3" w:rsidRDefault="00CE48CB" w:rsidP="00F374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 inflacji wspomnieliśmy, a co ze sprzedażą w internecie? </w:t>
      </w:r>
      <w:r w:rsidR="0048144B" w:rsidRPr="00BB58E3">
        <w:rPr>
          <w:rFonts w:ascii="Arial" w:hAnsi="Arial" w:cs="Arial"/>
          <w:b/>
          <w:bCs/>
          <w:sz w:val="20"/>
          <w:szCs w:val="20"/>
        </w:rPr>
        <w:t>Centra wygrywają z e-commerce?</w:t>
      </w:r>
    </w:p>
    <w:p w14:paraId="1B7016A3" w14:textId="6679A2D9" w:rsidR="0048144B" w:rsidRDefault="0048144B" w:rsidP="00F374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7766D5" w14:textId="3522D541" w:rsidR="0048144B" w:rsidRDefault="00BB58E3" w:rsidP="00F374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4958">
        <w:rPr>
          <w:rFonts w:ascii="Arial" w:hAnsi="Arial" w:cs="Arial"/>
          <w:b/>
          <w:bCs/>
          <w:sz w:val="20"/>
          <w:szCs w:val="20"/>
        </w:rPr>
        <w:t>Anna Malcharek:</w:t>
      </w:r>
      <w:r>
        <w:rPr>
          <w:rFonts w:ascii="Arial" w:hAnsi="Arial" w:cs="Arial"/>
          <w:sz w:val="20"/>
          <w:szCs w:val="20"/>
        </w:rPr>
        <w:t xml:space="preserve"> </w:t>
      </w:r>
      <w:r w:rsidR="008866C7">
        <w:rPr>
          <w:rFonts w:ascii="Arial" w:hAnsi="Arial" w:cs="Arial"/>
          <w:sz w:val="20"/>
          <w:szCs w:val="20"/>
        </w:rPr>
        <w:t>K</w:t>
      </w:r>
      <w:r w:rsidR="0048144B">
        <w:rPr>
          <w:rFonts w:ascii="Arial" w:hAnsi="Arial" w:cs="Arial"/>
          <w:sz w:val="20"/>
          <w:szCs w:val="20"/>
        </w:rPr>
        <w:t xml:space="preserve">lienci wrócili do tradycyjnych kanałów sprzedaży, a co za tym idzie do galerii handlowych. Rosnące w pandemii zainteresowanie zakupami przez internet znacząco osłabło w ostatnich miesiącach, kiedy to konsumenci znów zyskali dostęp do wszystkich sklepów.  Systematycznie także maleje udział sprzedaży internetowej w sprzedaży ogółem, co pokazują ostatnie dane GUS. W październiku odnotowano dalszy spadek z 9,7% we wrześniu, do 9,5% w październiku br. Galerie wygrywają też z internetem w kluczowych dla siebie </w:t>
      </w:r>
      <w:r>
        <w:rPr>
          <w:rFonts w:ascii="Arial" w:hAnsi="Arial" w:cs="Arial"/>
          <w:sz w:val="20"/>
          <w:szCs w:val="20"/>
        </w:rPr>
        <w:t>kategoriach produktów</w:t>
      </w:r>
      <w:r w:rsidR="0048144B">
        <w:rPr>
          <w:rFonts w:ascii="Arial" w:hAnsi="Arial" w:cs="Arial"/>
          <w:sz w:val="20"/>
          <w:szCs w:val="20"/>
        </w:rPr>
        <w:t xml:space="preserve">, w tym zwłaszcza </w:t>
      </w:r>
      <w:r>
        <w:rPr>
          <w:rFonts w:ascii="Arial" w:hAnsi="Arial" w:cs="Arial"/>
          <w:sz w:val="20"/>
          <w:szCs w:val="20"/>
        </w:rPr>
        <w:t>modzie</w:t>
      </w:r>
      <w:r w:rsidR="0048144B">
        <w:rPr>
          <w:rFonts w:ascii="Arial" w:hAnsi="Arial" w:cs="Arial"/>
          <w:sz w:val="20"/>
          <w:szCs w:val="20"/>
        </w:rPr>
        <w:t xml:space="preserve">. Dziś w każdej grupie wiekowej centra handlowe są destynacją nr 1 dla osób, które szukają ubrań, butów i dodatków, a magnesem pozostaje </w:t>
      </w:r>
      <w:r>
        <w:rPr>
          <w:rFonts w:ascii="Arial" w:hAnsi="Arial" w:cs="Arial"/>
          <w:sz w:val="20"/>
          <w:szCs w:val="20"/>
        </w:rPr>
        <w:t xml:space="preserve">m.in. </w:t>
      </w:r>
      <w:r w:rsidR="0048144B">
        <w:rPr>
          <w:rFonts w:ascii="Arial" w:hAnsi="Arial" w:cs="Arial"/>
          <w:sz w:val="20"/>
          <w:szCs w:val="20"/>
        </w:rPr>
        <w:t>dostęp do</w:t>
      </w:r>
      <w:r>
        <w:rPr>
          <w:rFonts w:ascii="Arial" w:hAnsi="Arial" w:cs="Arial"/>
          <w:sz w:val="20"/>
          <w:szCs w:val="20"/>
        </w:rPr>
        <w:t xml:space="preserve"> atrakcyjniejszych</w:t>
      </w:r>
      <w:r w:rsidR="0048144B">
        <w:rPr>
          <w:rFonts w:ascii="Arial" w:hAnsi="Arial" w:cs="Arial"/>
          <w:sz w:val="20"/>
          <w:szCs w:val="20"/>
        </w:rPr>
        <w:t xml:space="preserve"> promocji, szerokość oferty, ale także możliwość przymierzenia</w:t>
      </w:r>
      <w:r>
        <w:rPr>
          <w:rFonts w:ascii="Arial" w:hAnsi="Arial" w:cs="Arial"/>
          <w:sz w:val="20"/>
          <w:szCs w:val="20"/>
        </w:rPr>
        <w:t xml:space="preserve"> rzeczy, doradztwo</w:t>
      </w:r>
      <w:r w:rsidR="0048144B">
        <w:rPr>
          <w:rFonts w:ascii="Arial" w:hAnsi="Arial" w:cs="Arial"/>
          <w:sz w:val="20"/>
          <w:szCs w:val="20"/>
        </w:rPr>
        <w:t xml:space="preserve"> czy kontakt z produktem. </w:t>
      </w:r>
    </w:p>
    <w:p w14:paraId="0EA39FA8" w14:textId="5A6D163A" w:rsidR="0048144B" w:rsidRDefault="0048144B" w:rsidP="00F374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5FAA037" w14:textId="79423D96" w:rsidR="0048144B" w:rsidRPr="00BB58E3" w:rsidRDefault="0048144B" w:rsidP="00F374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B58E3">
        <w:rPr>
          <w:rFonts w:ascii="Arial" w:hAnsi="Arial" w:cs="Arial"/>
          <w:b/>
          <w:bCs/>
          <w:sz w:val="20"/>
          <w:szCs w:val="20"/>
        </w:rPr>
        <w:t>Na horyzoncie jest jednak jeszcze jedno wyzwanie – zarządzanie kosztami.</w:t>
      </w:r>
    </w:p>
    <w:p w14:paraId="7D41A6C3" w14:textId="15934C5D" w:rsidR="0048144B" w:rsidRDefault="0048144B" w:rsidP="00F374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326405D" w14:textId="1CA787F8" w:rsidR="0048144B" w:rsidRPr="00A44958" w:rsidRDefault="00BB58E3" w:rsidP="00F374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4958">
        <w:rPr>
          <w:rFonts w:ascii="Arial" w:hAnsi="Arial" w:cs="Arial"/>
          <w:b/>
          <w:bCs/>
          <w:sz w:val="20"/>
          <w:szCs w:val="20"/>
        </w:rPr>
        <w:t>Anna Malcharek:</w:t>
      </w:r>
      <w:r>
        <w:rPr>
          <w:rFonts w:ascii="Arial" w:hAnsi="Arial" w:cs="Arial"/>
          <w:sz w:val="20"/>
          <w:szCs w:val="20"/>
        </w:rPr>
        <w:t xml:space="preserve"> Kondycja polskiej i globalnej gospodarki, ale także trwający kryzys energetyczny nie pozostają bez wpływu na koszty działalności. Galerie stoją dziś przed ogromnym wyzwaniem, jakim jest szukanie oszczędności niemal w każdym obszarze działania obiektu. To problem, który dotyka i będzie dotykał obie strony – najemców i wynajmujących. Dlatego branża</w:t>
      </w:r>
      <w:r w:rsidR="00CE48CB">
        <w:rPr>
          <w:rFonts w:ascii="Arial" w:hAnsi="Arial" w:cs="Arial"/>
          <w:sz w:val="20"/>
          <w:szCs w:val="20"/>
        </w:rPr>
        <w:t xml:space="preserve">, w oparciu o uprzednie doświadczenia dotyczące zarzadzania </w:t>
      </w:r>
      <w:r w:rsidR="008866C7">
        <w:rPr>
          <w:rFonts w:ascii="Arial" w:hAnsi="Arial" w:cs="Arial"/>
          <w:sz w:val="20"/>
          <w:szCs w:val="20"/>
        </w:rPr>
        <w:t>kosztami, od</w:t>
      </w:r>
      <w:r>
        <w:rPr>
          <w:rFonts w:ascii="Arial" w:hAnsi="Arial" w:cs="Arial"/>
          <w:sz w:val="20"/>
          <w:szCs w:val="20"/>
        </w:rPr>
        <w:t xml:space="preserve"> miesięcy aktywnie pracuje nad optymalnymi rozwiązaniami. Jest to temat, który w 2023 roku mocno będzie wybrzmiewał.</w:t>
      </w:r>
    </w:p>
    <w:p w14:paraId="5D608D5A" w14:textId="77777777" w:rsidR="00A44958" w:rsidRDefault="00A44958" w:rsidP="00F374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D201C89" w14:textId="3DC63D90" w:rsidR="00A44958" w:rsidRDefault="00A44958" w:rsidP="00F374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44958">
        <w:rPr>
          <w:rFonts w:ascii="Arial" w:hAnsi="Arial" w:cs="Arial"/>
          <w:b/>
          <w:bCs/>
          <w:sz w:val="20"/>
          <w:szCs w:val="20"/>
        </w:rPr>
        <w:t>O COVID-19 już zapomniano?</w:t>
      </w:r>
    </w:p>
    <w:p w14:paraId="79349653" w14:textId="77777777" w:rsidR="00F3741F" w:rsidRPr="00A44958" w:rsidRDefault="00F3741F" w:rsidP="00F374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3F37782" w14:textId="621806FD" w:rsidR="00A44958" w:rsidRPr="00A44958" w:rsidRDefault="00A44958" w:rsidP="00F374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4958">
        <w:rPr>
          <w:rFonts w:ascii="Arial" w:hAnsi="Arial" w:cs="Arial"/>
          <w:b/>
          <w:bCs/>
          <w:sz w:val="20"/>
          <w:szCs w:val="20"/>
        </w:rPr>
        <w:t>Anna Malcharek:</w:t>
      </w:r>
      <w:r>
        <w:rPr>
          <w:rFonts w:ascii="Arial" w:hAnsi="Arial" w:cs="Arial"/>
          <w:sz w:val="20"/>
          <w:szCs w:val="20"/>
        </w:rPr>
        <w:t xml:space="preserve"> </w:t>
      </w:r>
      <w:r w:rsidRPr="00A44958">
        <w:rPr>
          <w:rFonts w:ascii="Arial" w:hAnsi="Arial" w:cs="Arial"/>
          <w:sz w:val="20"/>
          <w:szCs w:val="20"/>
        </w:rPr>
        <w:t xml:space="preserve">W żadnym wypadku! Niestety skutki pandemii, zwłaszcza ekonomiczne, pozostaną z nami na dłużej. Koronawirus mocno poturbował rynek, który cały 2022 rok poświęcił na odbudowę footfallu i obrotów, a także – co istotne – chociaż częściowe odzyskanie ogromnych strat, jakie poniósł. Pod względem frekwencji galerie </w:t>
      </w:r>
      <w:r w:rsidR="00CE48CB">
        <w:rPr>
          <w:rFonts w:ascii="Arial" w:hAnsi="Arial" w:cs="Arial"/>
          <w:sz w:val="20"/>
          <w:szCs w:val="20"/>
        </w:rPr>
        <w:t xml:space="preserve">zbliżają się do uzyskania </w:t>
      </w:r>
      <w:r w:rsidRPr="00A44958">
        <w:rPr>
          <w:rFonts w:ascii="Arial" w:hAnsi="Arial" w:cs="Arial"/>
          <w:sz w:val="20"/>
          <w:szCs w:val="20"/>
        </w:rPr>
        <w:t xml:space="preserve">poziomu </w:t>
      </w:r>
      <w:r w:rsidR="00CE48CB">
        <w:rPr>
          <w:rFonts w:ascii="Arial" w:hAnsi="Arial" w:cs="Arial"/>
          <w:sz w:val="20"/>
          <w:szCs w:val="20"/>
        </w:rPr>
        <w:t xml:space="preserve">odwiedzalności </w:t>
      </w:r>
      <w:r w:rsidRPr="00A44958">
        <w:rPr>
          <w:rFonts w:ascii="Arial" w:hAnsi="Arial" w:cs="Arial"/>
          <w:sz w:val="20"/>
          <w:szCs w:val="20"/>
        </w:rPr>
        <w:t>sprzed pandemii, co jest ogromnym sukcesem, bo pokazuje, że klienci nie stracili do nas zaufani</w:t>
      </w:r>
      <w:r w:rsidR="00032396">
        <w:rPr>
          <w:rFonts w:ascii="Arial" w:hAnsi="Arial" w:cs="Arial"/>
          <w:sz w:val="20"/>
          <w:szCs w:val="20"/>
        </w:rPr>
        <w:t>a. C</w:t>
      </w:r>
      <w:r w:rsidRPr="00A44958">
        <w:rPr>
          <w:rFonts w:ascii="Arial" w:hAnsi="Arial" w:cs="Arial"/>
          <w:sz w:val="20"/>
          <w:szCs w:val="20"/>
        </w:rPr>
        <w:t xml:space="preserve">o więcej, wrócili do zwyczajów zakupowych, jakie dominowały przed pandemią. Wiele jednak pozostaje wciąż do zrobienia. </w:t>
      </w:r>
    </w:p>
    <w:p w14:paraId="7E3C717E" w14:textId="6EB748D9" w:rsidR="00A44958" w:rsidRDefault="00A44958" w:rsidP="00F374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F6D6211" w14:textId="77777777" w:rsidR="009313B4" w:rsidRDefault="009313B4" w:rsidP="00F374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55D6E7" w14:textId="3D694573" w:rsidR="00841D2D" w:rsidRPr="00BD6F75" w:rsidRDefault="00841D2D" w:rsidP="00323C1E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BD6F75">
        <w:rPr>
          <w:rFonts w:ascii="Arial" w:hAnsi="Arial" w:cs="Arial"/>
          <w:sz w:val="16"/>
          <w:szCs w:val="16"/>
          <w:lang w:eastAsia="pl-PL"/>
        </w:rPr>
        <w:t>Źródło: Gemini Holding/Guarana PR</w:t>
      </w:r>
    </w:p>
    <w:p w14:paraId="0AA485FF" w14:textId="34FF7128" w:rsidR="00C92E43" w:rsidRDefault="00841D2D" w:rsidP="00323C1E">
      <w:pPr>
        <w:pStyle w:val="Bezodstpw"/>
        <w:jc w:val="both"/>
        <w:rPr>
          <w:rFonts w:ascii="Arial" w:hAnsi="Arial" w:cs="Arial"/>
          <w:sz w:val="16"/>
          <w:szCs w:val="16"/>
          <w:lang w:val="en-US"/>
        </w:rPr>
      </w:pPr>
      <w:r w:rsidRPr="00BD6F75">
        <w:rPr>
          <w:rFonts w:ascii="Arial" w:hAnsi="Arial" w:cs="Arial"/>
          <w:sz w:val="16"/>
          <w:szCs w:val="16"/>
          <w:lang w:eastAsia="pl-PL"/>
        </w:rPr>
        <w:br/>
      </w:r>
      <w:r w:rsidR="00AE6201" w:rsidRPr="00BD6F75">
        <w:rPr>
          <w:rFonts w:ascii="Arial" w:hAnsi="Arial" w:cs="Arial"/>
          <w:b/>
          <w:bCs/>
          <w:sz w:val="16"/>
          <w:szCs w:val="16"/>
        </w:rPr>
        <w:t>Gemini Holding Sp. z o.o.</w:t>
      </w:r>
      <w:r w:rsidR="00AE6201" w:rsidRPr="00BD6F75">
        <w:rPr>
          <w:rFonts w:ascii="Arial" w:hAnsi="Arial" w:cs="Arial"/>
          <w:sz w:val="16"/>
          <w:szCs w:val="16"/>
        </w:rPr>
        <w:t xml:space="preserve"> to wielokrotnie nagradzana, zorientowana na nowoczesne inwestycje polska firma deweloperska, która od blisko 30 lat z sukcesem rozwija swoje portfolio, a także wspiera największych graczy rynkowych w realizacji inwestycji. Od ponad dekady Gemini Holding rozwija własne portfolio, tworząc sieć centrów handlowych Gemini Park. Do aktywów będących własnością firmy należą dziś 3 obiekty – Gemini Park Bielsko-Biała, Gemini Park Tarnów oraz Gemini Park Tychy. W sumie holding skupia w swoich rękach 131 000 m kw. GLA powierzchni handlowej. </w:t>
      </w:r>
      <w:r w:rsidR="00AE6201" w:rsidRPr="00BD6F75">
        <w:rPr>
          <w:rFonts w:ascii="Arial" w:hAnsi="Arial" w:cs="Arial"/>
          <w:sz w:val="16"/>
          <w:szCs w:val="16"/>
          <w:lang w:val="en-US"/>
        </w:rPr>
        <w:t>Firma wyróżniana nagrodami m.in. European Property Awards, Eurobuild Awards, PRCH Retail Awards i CEE Retail Award</w:t>
      </w:r>
      <w:r w:rsidR="00425BDD" w:rsidRPr="00BD6F75">
        <w:rPr>
          <w:rFonts w:ascii="Arial" w:hAnsi="Arial" w:cs="Arial"/>
          <w:sz w:val="16"/>
          <w:szCs w:val="16"/>
          <w:lang w:val="en-US"/>
        </w:rPr>
        <w:t xml:space="preserve">. </w:t>
      </w:r>
    </w:p>
    <w:p w14:paraId="46A4EBF7" w14:textId="3FFD33CE" w:rsidR="008866C7" w:rsidRDefault="008866C7" w:rsidP="00323C1E">
      <w:pPr>
        <w:pStyle w:val="Bezodstpw"/>
        <w:jc w:val="both"/>
        <w:rPr>
          <w:rFonts w:ascii="Arial" w:hAnsi="Arial" w:cs="Arial"/>
          <w:sz w:val="16"/>
          <w:szCs w:val="16"/>
          <w:lang w:val="en-US"/>
        </w:rPr>
      </w:pPr>
    </w:p>
    <w:p w14:paraId="2E20804D" w14:textId="77777777" w:rsidR="008866C7" w:rsidRPr="008866C7" w:rsidRDefault="008866C7" w:rsidP="008866C7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8866C7">
        <w:rPr>
          <w:rFonts w:ascii="Arial" w:hAnsi="Arial" w:cs="Arial"/>
          <w:sz w:val="14"/>
          <w:szCs w:val="14"/>
        </w:rPr>
        <w:t>Źródła danych:</w:t>
      </w:r>
    </w:p>
    <w:p w14:paraId="2FE6D2BB" w14:textId="77777777" w:rsidR="008866C7" w:rsidRPr="008866C7" w:rsidRDefault="008866C7" w:rsidP="008866C7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8866C7">
        <w:rPr>
          <w:rFonts w:ascii="Arial" w:hAnsi="Arial" w:cs="Arial"/>
          <w:sz w:val="14"/>
          <w:szCs w:val="14"/>
        </w:rPr>
        <w:t>PRCH Retail Reasearch Forum</w:t>
      </w:r>
    </w:p>
    <w:p w14:paraId="452F11B8" w14:textId="77777777" w:rsidR="008866C7" w:rsidRPr="008866C7" w:rsidRDefault="008866C7" w:rsidP="008866C7">
      <w:pPr>
        <w:pStyle w:val="Bezodstpw"/>
        <w:jc w:val="both"/>
        <w:rPr>
          <w:rFonts w:ascii="Arial" w:hAnsi="Arial" w:cs="Arial"/>
          <w:sz w:val="14"/>
          <w:szCs w:val="14"/>
          <w:lang w:val="en-US"/>
        </w:rPr>
      </w:pPr>
      <w:r w:rsidRPr="008866C7">
        <w:rPr>
          <w:rFonts w:ascii="Arial" w:hAnsi="Arial" w:cs="Arial"/>
          <w:sz w:val="14"/>
          <w:szCs w:val="14"/>
          <w:lang w:val="en-US"/>
        </w:rPr>
        <w:t>Global State of Consumer Tracker Deloitte</w:t>
      </w:r>
    </w:p>
    <w:p w14:paraId="754F8879" w14:textId="77777777" w:rsidR="008866C7" w:rsidRDefault="008866C7" w:rsidP="00323C1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8866C7">
        <w:rPr>
          <w:rFonts w:ascii="Arial" w:hAnsi="Arial" w:cs="Arial"/>
          <w:sz w:val="14"/>
          <w:szCs w:val="14"/>
        </w:rPr>
        <w:t>Polska Rada Centrów Handlowyc</w:t>
      </w:r>
      <w:r>
        <w:rPr>
          <w:rFonts w:ascii="Arial" w:hAnsi="Arial" w:cs="Arial"/>
          <w:sz w:val="14"/>
          <w:szCs w:val="14"/>
        </w:rPr>
        <w:t>h</w:t>
      </w:r>
    </w:p>
    <w:p w14:paraId="772214DC" w14:textId="2A1B5318" w:rsidR="00841D2D" w:rsidRPr="008866C7" w:rsidRDefault="00841D2D" w:rsidP="00323C1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EF248F">
        <w:rPr>
          <w:rFonts w:ascii="Arial" w:hAnsi="Arial" w:cs="Arial"/>
          <w:sz w:val="18"/>
          <w:szCs w:val="18"/>
          <w:lang w:val="en-US" w:eastAsia="pl-PL"/>
        </w:rPr>
        <w:br/>
      </w:r>
    </w:p>
    <w:p w14:paraId="01111849" w14:textId="77777777" w:rsidR="00330E7C" w:rsidRPr="00EF248F" w:rsidRDefault="00330E7C" w:rsidP="00D775BD">
      <w:pPr>
        <w:pStyle w:val="Bezodstpw"/>
        <w:jc w:val="both"/>
        <w:rPr>
          <w:rFonts w:ascii="Arial" w:hAnsi="Arial" w:cs="Arial"/>
          <w:lang w:val="en-US"/>
        </w:rPr>
      </w:pPr>
    </w:p>
    <w:sectPr w:rsidR="00330E7C" w:rsidRPr="00EF248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5D129" w14:textId="77777777" w:rsidR="00B04310" w:rsidRDefault="00B04310">
      <w:pPr>
        <w:spacing w:after="0" w:line="240" w:lineRule="auto"/>
      </w:pPr>
      <w:r>
        <w:separator/>
      </w:r>
    </w:p>
  </w:endnote>
  <w:endnote w:type="continuationSeparator" w:id="0">
    <w:p w14:paraId="01983694" w14:textId="77777777" w:rsidR="00B04310" w:rsidRDefault="00B04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CB907" w14:textId="77777777" w:rsidR="00B04310" w:rsidRDefault="00B04310">
      <w:pPr>
        <w:spacing w:after="0" w:line="240" w:lineRule="auto"/>
      </w:pPr>
      <w:r>
        <w:separator/>
      </w:r>
    </w:p>
  </w:footnote>
  <w:footnote w:type="continuationSeparator" w:id="0">
    <w:p w14:paraId="0D1DCFA6" w14:textId="77777777" w:rsidR="00B04310" w:rsidRDefault="00B04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3DEB" w14:textId="77777777" w:rsidR="004D703B" w:rsidRDefault="003D7B9B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22E32F53" wp14:editId="009B36EF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D2D"/>
    <w:rsid w:val="0000256C"/>
    <w:rsid w:val="0000628F"/>
    <w:rsid w:val="00021B82"/>
    <w:rsid w:val="00032079"/>
    <w:rsid w:val="00032396"/>
    <w:rsid w:val="000331DA"/>
    <w:rsid w:val="00033D77"/>
    <w:rsid w:val="000351BB"/>
    <w:rsid w:val="000443DC"/>
    <w:rsid w:val="00047D4A"/>
    <w:rsid w:val="0006565B"/>
    <w:rsid w:val="000668D4"/>
    <w:rsid w:val="000771D3"/>
    <w:rsid w:val="00077569"/>
    <w:rsid w:val="00081EC6"/>
    <w:rsid w:val="00084BE8"/>
    <w:rsid w:val="0009157A"/>
    <w:rsid w:val="000A7CDD"/>
    <w:rsid w:val="000C054A"/>
    <w:rsid w:val="000C7359"/>
    <w:rsid w:val="0010039D"/>
    <w:rsid w:val="00153D50"/>
    <w:rsid w:val="00157792"/>
    <w:rsid w:val="00162C51"/>
    <w:rsid w:val="00167653"/>
    <w:rsid w:val="00186E6A"/>
    <w:rsid w:val="00197BD2"/>
    <w:rsid w:val="001A69CB"/>
    <w:rsid w:val="001B7C74"/>
    <w:rsid w:val="001D220A"/>
    <w:rsid w:val="001E128F"/>
    <w:rsid w:val="001F0B7D"/>
    <w:rsid w:val="001F19FB"/>
    <w:rsid w:val="001F1F7D"/>
    <w:rsid w:val="001F4D82"/>
    <w:rsid w:val="001F748F"/>
    <w:rsid w:val="00207336"/>
    <w:rsid w:val="00220750"/>
    <w:rsid w:val="00227755"/>
    <w:rsid w:val="0024162D"/>
    <w:rsid w:val="00285221"/>
    <w:rsid w:val="002A0BD8"/>
    <w:rsid w:val="002A47DD"/>
    <w:rsid w:val="002A5C7A"/>
    <w:rsid w:val="002B2271"/>
    <w:rsid w:val="002B285A"/>
    <w:rsid w:val="002C23A3"/>
    <w:rsid w:val="002C7106"/>
    <w:rsid w:val="002D6BFF"/>
    <w:rsid w:val="002D6EEC"/>
    <w:rsid w:val="002E1952"/>
    <w:rsid w:val="002F1765"/>
    <w:rsid w:val="002F1B36"/>
    <w:rsid w:val="00302073"/>
    <w:rsid w:val="00314233"/>
    <w:rsid w:val="00314E62"/>
    <w:rsid w:val="00316904"/>
    <w:rsid w:val="00317130"/>
    <w:rsid w:val="00320724"/>
    <w:rsid w:val="003216D5"/>
    <w:rsid w:val="00323C1E"/>
    <w:rsid w:val="00330E7C"/>
    <w:rsid w:val="00337217"/>
    <w:rsid w:val="00341589"/>
    <w:rsid w:val="00344024"/>
    <w:rsid w:val="003524DB"/>
    <w:rsid w:val="003611F1"/>
    <w:rsid w:val="003724CD"/>
    <w:rsid w:val="00372D8B"/>
    <w:rsid w:val="00374318"/>
    <w:rsid w:val="00384EC7"/>
    <w:rsid w:val="00387D09"/>
    <w:rsid w:val="003A0FCE"/>
    <w:rsid w:val="003A4048"/>
    <w:rsid w:val="003A7457"/>
    <w:rsid w:val="003B3DF5"/>
    <w:rsid w:val="003B7840"/>
    <w:rsid w:val="003C0F11"/>
    <w:rsid w:val="003C3338"/>
    <w:rsid w:val="003D197D"/>
    <w:rsid w:val="003D3665"/>
    <w:rsid w:val="003D7B9B"/>
    <w:rsid w:val="003F2E21"/>
    <w:rsid w:val="003F3645"/>
    <w:rsid w:val="003F3A0F"/>
    <w:rsid w:val="00412F57"/>
    <w:rsid w:val="00425BDD"/>
    <w:rsid w:val="00427B91"/>
    <w:rsid w:val="00450081"/>
    <w:rsid w:val="00453FA6"/>
    <w:rsid w:val="004563A3"/>
    <w:rsid w:val="0047311A"/>
    <w:rsid w:val="004754FA"/>
    <w:rsid w:val="0048144B"/>
    <w:rsid w:val="004830E8"/>
    <w:rsid w:val="00487A51"/>
    <w:rsid w:val="0049012F"/>
    <w:rsid w:val="00495E90"/>
    <w:rsid w:val="004A4C3C"/>
    <w:rsid w:val="004B070C"/>
    <w:rsid w:val="004B2824"/>
    <w:rsid w:val="004B43C8"/>
    <w:rsid w:val="004B5B3C"/>
    <w:rsid w:val="004D27FD"/>
    <w:rsid w:val="0050266B"/>
    <w:rsid w:val="00521A0C"/>
    <w:rsid w:val="00525561"/>
    <w:rsid w:val="00532CDC"/>
    <w:rsid w:val="0053392C"/>
    <w:rsid w:val="0054355B"/>
    <w:rsid w:val="00545E41"/>
    <w:rsid w:val="00564180"/>
    <w:rsid w:val="00591E13"/>
    <w:rsid w:val="00593036"/>
    <w:rsid w:val="00597247"/>
    <w:rsid w:val="005B068F"/>
    <w:rsid w:val="005D45D6"/>
    <w:rsid w:val="005F184D"/>
    <w:rsid w:val="005F2059"/>
    <w:rsid w:val="00603750"/>
    <w:rsid w:val="006466AF"/>
    <w:rsid w:val="0065606E"/>
    <w:rsid w:val="0067301E"/>
    <w:rsid w:val="00676FE6"/>
    <w:rsid w:val="006B767A"/>
    <w:rsid w:val="006D2827"/>
    <w:rsid w:val="006D7B65"/>
    <w:rsid w:val="006E0CEE"/>
    <w:rsid w:val="006E336A"/>
    <w:rsid w:val="006F143D"/>
    <w:rsid w:val="006F3EDA"/>
    <w:rsid w:val="00715B1E"/>
    <w:rsid w:val="0071764B"/>
    <w:rsid w:val="00725D09"/>
    <w:rsid w:val="00751CA7"/>
    <w:rsid w:val="007539F3"/>
    <w:rsid w:val="0077712A"/>
    <w:rsid w:val="00786179"/>
    <w:rsid w:val="0078688F"/>
    <w:rsid w:val="007A7542"/>
    <w:rsid w:val="007B6BCA"/>
    <w:rsid w:val="007C1518"/>
    <w:rsid w:val="007C67DA"/>
    <w:rsid w:val="007E1DD3"/>
    <w:rsid w:val="007E7EFA"/>
    <w:rsid w:val="00805B40"/>
    <w:rsid w:val="0081380E"/>
    <w:rsid w:val="00815AD4"/>
    <w:rsid w:val="00834484"/>
    <w:rsid w:val="00841D2D"/>
    <w:rsid w:val="00855AA6"/>
    <w:rsid w:val="00856ACA"/>
    <w:rsid w:val="00873953"/>
    <w:rsid w:val="0087451C"/>
    <w:rsid w:val="00876FD5"/>
    <w:rsid w:val="008866C7"/>
    <w:rsid w:val="00890C9D"/>
    <w:rsid w:val="008B3366"/>
    <w:rsid w:val="008E48C1"/>
    <w:rsid w:val="008F4749"/>
    <w:rsid w:val="00902B2F"/>
    <w:rsid w:val="00912DB9"/>
    <w:rsid w:val="009313B4"/>
    <w:rsid w:val="00947121"/>
    <w:rsid w:val="00952DEC"/>
    <w:rsid w:val="0095710A"/>
    <w:rsid w:val="0095785C"/>
    <w:rsid w:val="00977708"/>
    <w:rsid w:val="009913DD"/>
    <w:rsid w:val="009930E8"/>
    <w:rsid w:val="009949D3"/>
    <w:rsid w:val="009A7FCE"/>
    <w:rsid w:val="009B1A6D"/>
    <w:rsid w:val="009E2E52"/>
    <w:rsid w:val="009F3F3C"/>
    <w:rsid w:val="00A128F1"/>
    <w:rsid w:val="00A35969"/>
    <w:rsid w:val="00A44958"/>
    <w:rsid w:val="00A474AA"/>
    <w:rsid w:val="00A53AFC"/>
    <w:rsid w:val="00A668A6"/>
    <w:rsid w:val="00A72B0D"/>
    <w:rsid w:val="00A76F40"/>
    <w:rsid w:val="00A77EE8"/>
    <w:rsid w:val="00A932CF"/>
    <w:rsid w:val="00A94B47"/>
    <w:rsid w:val="00AD3C51"/>
    <w:rsid w:val="00AD66C1"/>
    <w:rsid w:val="00AE6201"/>
    <w:rsid w:val="00AF1ED8"/>
    <w:rsid w:val="00AF7FA3"/>
    <w:rsid w:val="00B04310"/>
    <w:rsid w:val="00B06200"/>
    <w:rsid w:val="00B10B35"/>
    <w:rsid w:val="00B157AE"/>
    <w:rsid w:val="00B272BA"/>
    <w:rsid w:val="00B3580C"/>
    <w:rsid w:val="00B36C97"/>
    <w:rsid w:val="00B63623"/>
    <w:rsid w:val="00B66469"/>
    <w:rsid w:val="00B66BEF"/>
    <w:rsid w:val="00B703D6"/>
    <w:rsid w:val="00B77C0C"/>
    <w:rsid w:val="00B9020B"/>
    <w:rsid w:val="00B9138F"/>
    <w:rsid w:val="00BA14FC"/>
    <w:rsid w:val="00BB3011"/>
    <w:rsid w:val="00BB47A3"/>
    <w:rsid w:val="00BB4E93"/>
    <w:rsid w:val="00BB58E3"/>
    <w:rsid w:val="00BB63D1"/>
    <w:rsid w:val="00BB7A2A"/>
    <w:rsid w:val="00BD6F75"/>
    <w:rsid w:val="00BE5D49"/>
    <w:rsid w:val="00BE7101"/>
    <w:rsid w:val="00BF4788"/>
    <w:rsid w:val="00C005B7"/>
    <w:rsid w:val="00C046B8"/>
    <w:rsid w:val="00C23A9F"/>
    <w:rsid w:val="00C24148"/>
    <w:rsid w:val="00C31FA4"/>
    <w:rsid w:val="00C6167F"/>
    <w:rsid w:val="00C75C01"/>
    <w:rsid w:val="00C76E2E"/>
    <w:rsid w:val="00C771AB"/>
    <w:rsid w:val="00C86639"/>
    <w:rsid w:val="00C92E43"/>
    <w:rsid w:val="00C959DB"/>
    <w:rsid w:val="00CA158B"/>
    <w:rsid w:val="00CD23E3"/>
    <w:rsid w:val="00CD2EBE"/>
    <w:rsid w:val="00CE015E"/>
    <w:rsid w:val="00CE48CB"/>
    <w:rsid w:val="00CE77CD"/>
    <w:rsid w:val="00CE7EA7"/>
    <w:rsid w:val="00D2093F"/>
    <w:rsid w:val="00D5199E"/>
    <w:rsid w:val="00D62761"/>
    <w:rsid w:val="00D670FA"/>
    <w:rsid w:val="00D7411A"/>
    <w:rsid w:val="00D775BD"/>
    <w:rsid w:val="00D809B8"/>
    <w:rsid w:val="00D82A45"/>
    <w:rsid w:val="00D83047"/>
    <w:rsid w:val="00D9333E"/>
    <w:rsid w:val="00DA29A5"/>
    <w:rsid w:val="00DC2C34"/>
    <w:rsid w:val="00DC5FA3"/>
    <w:rsid w:val="00DD2719"/>
    <w:rsid w:val="00DD6801"/>
    <w:rsid w:val="00DF2580"/>
    <w:rsid w:val="00DF2DCA"/>
    <w:rsid w:val="00E04363"/>
    <w:rsid w:val="00E05E02"/>
    <w:rsid w:val="00E07E21"/>
    <w:rsid w:val="00E1076A"/>
    <w:rsid w:val="00E1171B"/>
    <w:rsid w:val="00E23BDB"/>
    <w:rsid w:val="00E3028D"/>
    <w:rsid w:val="00E33721"/>
    <w:rsid w:val="00E37490"/>
    <w:rsid w:val="00E553F8"/>
    <w:rsid w:val="00E62207"/>
    <w:rsid w:val="00E67DD3"/>
    <w:rsid w:val="00E74CAB"/>
    <w:rsid w:val="00E80B55"/>
    <w:rsid w:val="00E86117"/>
    <w:rsid w:val="00E9378D"/>
    <w:rsid w:val="00E962B3"/>
    <w:rsid w:val="00EA7378"/>
    <w:rsid w:val="00EC6A53"/>
    <w:rsid w:val="00EF248F"/>
    <w:rsid w:val="00EF306C"/>
    <w:rsid w:val="00EF75E6"/>
    <w:rsid w:val="00F103D1"/>
    <w:rsid w:val="00F1354B"/>
    <w:rsid w:val="00F319F8"/>
    <w:rsid w:val="00F3741F"/>
    <w:rsid w:val="00F53A30"/>
    <w:rsid w:val="00F634FB"/>
    <w:rsid w:val="00F70B19"/>
    <w:rsid w:val="00F75014"/>
    <w:rsid w:val="00F75DDF"/>
    <w:rsid w:val="00F81029"/>
    <w:rsid w:val="00F87654"/>
    <w:rsid w:val="00F87D88"/>
    <w:rsid w:val="00F95431"/>
    <w:rsid w:val="00FA06F9"/>
    <w:rsid w:val="00FB2D0F"/>
    <w:rsid w:val="00FB343E"/>
    <w:rsid w:val="00FC0007"/>
    <w:rsid w:val="00FC190E"/>
    <w:rsid w:val="00FC5B9C"/>
    <w:rsid w:val="00FC749F"/>
    <w:rsid w:val="00FE0136"/>
    <w:rsid w:val="00FE6CBD"/>
    <w:rsid w:val="00FF0E1C"/>
    <w:rsid w:val="00FF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5468"/>
  <w15:docId w15:val="{BA0E917A-09A1-435D-8421-B07A257EE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D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41D2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41D2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41D2D"/>
  </w:style>
  <w:style w:type="character" w:styleId="Odwoaniedokomentarza">
    <w:name w:val="annotation reference"/>
    <w:basedOn w:val="Domylnaczcionkaakapitu"/>
    <w:uiPriority w:val="99"/>
    <w:semiHidden/>
    <w:unhideWhenUsed/>
    <w:rsid w:val="004B28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B28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B282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8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82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E90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A69CB"/>
    <w:pPr>
      <w:spacing w:after="0" w:line="240" w:lineRule="auto"/>
    </w:pPr>
    <w:rPr>
      <w:rFonts w:ascii="Calibri" w:eastAsia="Calibri" w:hAnsi="Calibri" w:cs="Times New Roman"/>
    </w:rPr>
  </w:style>
  <w:style w:type="table" w:styleId="Jasnalista">
    <w:name w:val="Light List"/>
    <w:basedOn w:val="Standardowy"/>
    <w:uiPriority w:val="61"/>
    <w:rsid w:val="00593036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7FA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7FA3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7FA3"/>
    <w:rPr>
      <w:vertAlign w:val="superscript"/>
    </w:rPr>
  </w:style>
  <w:style w:type="paragraph" w:customStyle="1" w:styleId="pf0">
    <w:name w:val="pf0"/>
    <w:basedOn w:val="Normalny"/>
    <w:rsid w:val="004814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48144B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BD045-9634-408C-9AB2-CDA013903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1095</Words>
  <Characters>6576</Characters>
  <Application>Microsoft Office Word</Application>
  <DocSecurity>0</DocSecurity>
  <Lines>121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Pietrzak</dc:creator>
  <cp:lastModifiedBy>Tomasz Pietrzak</cp:lastModifiedBy>
  <cp:revision>2</cp:revision>
  <dcterms:created xsi:type="dcterms:W3CDTF">2022-12-27T08:46:00Z</dcterms:created>
  <dcterms:modified xsi:type="dcterms:W3CDTF">2022-12-27T08:46:00Z</dcterms:modified>
</cp:coreProperties>
</file>