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E31C" w14:textId="5CB35704" w:rsidR="00025EBD" w:rsidRPr="007751EF" w:rsidRDefault="007840EA" w:rsidP="00025EBD">
      <w:pPr>
        <w:pStyle w:val="Bezodstpw"/>
        <w:rPr>
          <w:rFonts w:ascii="Arial" w:eastAsia="Times New Roman" w:hAnsi="Arial" w:cs="Arial"/>
          <w:lang w:eastAsia="pl-PL"/>
        </w:rPr>
      </w:pPr>
      <w:r w:rsidRPr="007751EF">
        <w:rPr>
          <w:rFonts w:ascii="Arial" w:eastAsia="Times New Roman" w:hAnsi="Arial" w:cs="Arial"/>
          <w:lang w:eastAsia="pl-PL"/>
        </w:rPr>
        <w:br/>
        <w:t>Informacja prasowa:</w:t>
      </w:r>
      <w:r w:rsidR="00E8661D" w:rsidRPr="007751EF">
        <w:rPr>
          <w:rFonts w:ascii="Arial" w:eastAsia="Times New Roman" w:hAnsi="Arial" w:cs="Arial"/>
          <w:lang w:eastAsia="pl-PL"/>
        </w:rPr>
        <w:t xml:space="preserve"> </w:t>
      </w:r>
      <w:r w:rsidR="00FE4D13">
        <w:rPr>
          <w:rFonts w:ascii="Arial" w:eastAsia="Times New Roman" w:hAnsi="Arial" w:cs="Arial"/>
          <w:lang w:eastAsia="pl-PL"/>
        </w:rPr>
        <w:t>21</w:t>
      </w:r>
      <w:r w:rsidR="007751EF">
        <w:rPr>
          <w:rFonts w:ascii="Arial" w:eastAsia="Times New Roman" w:hAnsi="Arial" w:cs="Arial"/>
          <w:lang w:eastAsia="pl-PL"/>
        </w:rPr>
        <w:t>-07</w:t>
      </w:r>
      <w:r w:rsidR="006B6352" w:rsidRPr="007751EF">
        <w:rPr>
          <w:rFonts w:ascii="Arial" w:eastAsia="Times New Roman" w:hAnsi="Arial" w:cs="Arial"/>
          <w:lang w:eastAsia="pl-PL"/>
        </w:rPr>
        <w:t>-2021</w:t>
      </w:r>
      <w:r w:rsidR="005517E1" w:rsidRPr="007751EF">
        <w:rPr>
          <w:rFonts w:ascii="Arial" w:eastAsia="Times New Roman" w:hAnsi="Arial" w:cs="Arial"/>
          <w:lang w:eastAsia="pl-PL"/>
        </w:rPr>
        <w:t>, Kraków</w:t>
      </w:r>
      <w:r w:rsidR="005517E1" w:rsidRPr="007751EF">
        <w:rPr>
          <w:rFonts w:ascii="Arial" w:eastAsia="Times New Roman" w:hAnsi="Arial" w:cs="Arial"/>
          <w:lang w:eastAsia="pl-PL"/>
        </w:rPr>
        <w:br/>
        <w:t>Biuro Prasowe Gemini Holding</w:t>
      </w:r>
      <w:r w:rsidR="005517E1" w:rsidRPr="007751EF">
        <w:rPr>
          <w:rFonts w:ascii="Arial" w:eastAsia="Times New Roman" w:hAnsi="Arial" w:cs="Arial"/>
          <w:lang w:eastAsia="pl-PL"/>
        </w:rPr>
        <w:br/>
        <w:t>Tomasz Pietrzak/Guarana Public Relations</w:t>
      </w:r>
      <w:r w:rsidR="005517E1" w:rsidRPr="007751EF">
        <w:rPr>
          <w:rFonts w:ascii="Arial" w:eastAsia="Times New Roman" w:hAnsi="Arial" w:cs="Arial"/>
          <w:lang w:eastAsia="pl-PL"/>
        </w:rPr>
        <w:br/>
        <w:t xml:space="preserve">tel. 509 106 256 mail. tomasz.pietrzak[at]guaranapr.pl </w:t>
      </w:r>
    </w:p>
    <w:p w14:paraId="4B273908" w14:textId="3AC3BFF3" w:rsidR="007751EF" w:rsidRPr="007751EF" w:rsidRDefault="007751EF" w:rsidP="00025EBD">
      <w:pPr>
        <w:pStyle w:val="Bezodstpw"/>
        <w:rPr>
          <w:rFonts w:ascii="Arial" w:eastAsia="Times New Roman" w:hAnsi="Arial" w:cs="Arial"/>
          <w:lang w:eastAsia="pl-PL"/>
        </w:rPr>
      </w:pPr>
    </w:p>
    <w:p w14:paraId="617ABEF2" w14:textId="77777777" w:rsidR="007751EF" w:rsidRPr="007751EF" w:rsidRDefault="007751EF" w:rsidP="007751EF">
      <w:pPr>
        <w:pStyle w:val="Bezodstpw"/>
        <w:rPr>
          <w:rFonts w:ascii="Arial" w:hAnsi="Arial" w:cs="Arial"/>
        </w:rPr>
      </w:pPr>
    </w:p>
    <w:p w14:paraId="12C5F149" w14:textId="77777777" w:rsidR="00FE4D13" w:rsidRDefault="00FE4D13" w:rsidP="00FE4D13">
      <w:pPr>
        <w:pStyle w:val="Bezodstpw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Gemini Holding: wyniki powyżej wskaźników rynkowych</w:t>
      </w:r>
    </w:p>
    <w:p w14:paraId="4EC63A70" w14:textId="77777777" w:rsidR="00FE4D13" w:rsidRDefault="00FE4D13" w:rsidP="00FE4D13">
      <w:pPr>
        <w:pStyle w:val="Bezodstpw"/>
        <w:rPr>
          <w:rFonts w:ascii="Arial" w:hAnsi="Arial" w:cs="Arial"/>
          <w:b/>
          <w:bCs/>
        </w:rPr>
      </w:pPr>
    </w:p>
    <w:p w14:paraId="25BCA804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51866650" w14:textId="77777777" w:rsidR="00FE4D13" w:rsidRDefault="00FE4D13" w:rsidP="00FE4D13">
      <w:pPr>
        <w:pStyle w:val="Bezodstpw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Trzy centra handlowe należące do Gemini Holding notują wyniki lepsze od rynkowych wskaźników. </w:t>
      </w:r>
    </w:p>
    <w:p w14:paraId="2C0FE221" w14:textId="77777777" w:rsidR="00FE4D13" w:rsidRDefault="00FE4D13" w:rsidP="00FE4D13">
      <w:pPr>
        <w:pStyle w:val="Bezodstpw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Mocna pozycja galerii na lokalnych rynkach przyciąga z kolei nowe marki. W galeriach Gemini Park szykuje się seria otwarć.</w:t>
      </w:r>
    </w:p>
    <w:p w14:paraId="7862E85F" w14:textId="758577F3" w:rsidR="00FE4D13" w:rsidRDefault="00FE4D13" w:rsidP="00FE4D13">
      <w:pPr>
        <w:pStyle w:val="Bezodstpw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Na finiszu jest też rozbudowa Gemini Park Tychy. To jedyna </w:t>
      </w:r>
      <w:r>
        <w:rPr>
          <w:rFonts w:ascii="Arial" w:hAnsi="Arial" w:cs="Arial"/>
        </w:rPr>
        <w:t>tego typu</w:t>
      </w:r>
      <w:r>
        <w:rPr>
          <w:rFonts w:ascii="Arial" w:hAnsi="Arial" w:cs="Arial"/>
        </w:rPr>
        <w:t xml:space="preserve"> inwestycja retail w woj. śląskim, która realizowana jest mimo pandemii.</w:t>
      </w:r>
    </w:p>
    <w:p w14:paraId="0579834B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21AE949D" w14:textId="77777777" w:rsidR="00FE4D13" w:rsidRDefault="00FE4D13" w:rsidP="00FE4D13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Ruch jest spory</w:t>
      </w:r>
    </w:p>
    <w:p w14:paraId="4187FFA3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Chociaż powrót na właściwe tory zajmie branży retail jeszcze trochę czasu, to wiele wskazuje na to, że proces odbudowy idzie w dobrą stronę i to szybciej niż rok temu. W galeriach nie tylko odradza się footfall, ale przede wszystkim rozpędza sprzedaż.</w:t>
      </w:r>
    </w:p>
    <w:p w14:paraId="1966D753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195F4D18" w14:textId="69FE9936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Widać to na przykładzie trzech centrów handlowych należących do Gemini Holding</w:t>
      </w:r>
      <w:r>
        <w:rPr>
          <w:rFonts w:ascii="Arial" w:hAnsi="Arial" w:cs="Arial"/>
        </w:rPr>
        <w:t xml:space="preserve"> – Gemini Park Tarnów, Gemini Park Tychy i Gemini Park Bielsko-Biała</w:t>
      </w:r>
      <w:r>
        <w:rPr>
          <w:rFonts w:ascii="Arial" w:hAnsi="Arial" w:cs="Arial"/>
        </w:rPr>
        <w:t xml:space="preserve">. Obiekty będące rynkowymi liderami we wschodniej Małopolsce, na Śląsku i na Podbeskidziu z tygodnia na tydzień zyskują coraz więcej klientów. </w:t>
      </w:r>
    </w:p>
    <w:p w14:paraId="781D3F32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150E6B2F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i/>
          <w:iCs/>
        </w:rPr>
        <w:t>Maj przyniósł mocne otwarcie, w efekcie, którego średni footfall dla trzech naszych centrów wynosił nieco ponad 83%, względem wyników notowanych w 2019 rok. Wskaźnik ten zrównał się z obserwowanym na rynku przez Polska Radę Centrów Handlowych. Ponadto, w trzech naszych obiektach klientów było średnio o 27% więcej niż przed rokiem, co również współgra z trendem, jaki notowano na rynku</w:t>
      </w:r>
      <w:r>
        <w:rPr>
          <w:rFonts w:ascii="Arial" w:hAnsi="Arial" w:cs="Arial"/>
        </w:rPr>
        <w:t xml:space="preserve"> – </w:t>
      </w:r>
      <w:r>
        <w:rPr>
          <w:rFonts w:ascii="Arial" w:hAnsi="Arial" w:cs="Arial"/>
          <w:b/>
          <w:bCs/>
        </w:rPr>
        <w:t>mówi Anna Malcharek, dyrektor zarządzający Gemini Holding.</w:t>
      </w:r>
    </w:p>
    <w:p w14:paraId="6532B407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65315518" w14:textId="6748AE1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i/>
          <w:iCs/>
        </w:rPr>
        <w:t>Po majowym odbiciu</w:t>
      </w:r>
      <w:r>
        <w:rPr>
          <w:rFonts w:ascii="Arial" w:hAnsi="Arial" w:cs="Arial"/>
          <w:i/>
          <w:iCs/>
        </w:rPr>
        <w:t>,</w:t>
      </w:r>
      <w:r>
        <w:rPr>
          <w:rFonts w:ascii="Arial" w:hAnsi="Arial" w:cs="Arial"/>
          <w:i/>
          <w:iCs/>
        </w:rPr>
        <w:t xml:space="preserve"> czerwiec przyniósł stabilizację wskaźników i to znów na wyższym niż przed rokiem poziomie. W rezultacie, miniony miesiąc zakończyliśmy ze średnim footfallem dla 3 centrów na poziomie blisko 83% w stosunku do footfallu z 2019 r., a więc powyżej linii trendu obserwowanej na rynku</w:t>
      </w:r>
      <w:r>
        <w:rPr>
          <w:rFonts w:ascii="Arial" w:hAnsi="Arial" w:cs="Arial"/>
        </w:rPr>
        <w:t xml:space="preserve"> – dodaje.</w:t>
      </w:r>
    </w:p>
    <w:p w14:paraId="309A70C8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2FE5742F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Ale nie tylko powrót klientów do Gemini Park to dobra prognoza. Rosną także wydatki</w:t>
      </w:r>
      <w:r>
        <w:rPr>
          <w:rFonts w:ascii="Arial" w:hAnsi="Arial" w:cs="Arial"/>
          <w:i/>
          <w:iCs/>
        </w:rPr>
        <w:t>. -  We wszystkich naszych centrach notowany footfall mocno konwertuje i to już trzeci miesiąc z rzędu. Obroty są nie tylko wyższe w porównaniu do roku ubiegłego, ale także wyższe od tych, jakie obserwowaliśmy przed pandemią. To tendencja, która zdaje się nie słabnąć i która pozytywnie wpływa na naszych najemców</w:t>
      </w:r>
      <w:r>
        <w:rPr>
          <w:rFonts w:ascii="Arial" w:hAnsi="Arial" w:cs="Arial"/>
        </w:rPr>
        <w:t xml:space="preserve"> – mówi.</w:t>
      </w:r>
    </w:p>
    <w:p w14:paraId="10A70C83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7397C478" w14:textId="77777777" w:rsidR="00FE4D13" w:rsidRDefault="00FE4D13" w:rsidP="00FE4D13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Oferta sprzyja wydatkom</w:t>
      </w:r>
    </w:p>
    <w:p w14:paraId="2059295B" w14:textId="4565FDA4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Wzrosty są znaczące. W czerwcu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rok do roku</w:t>
      </w:r>
      <w:r>
        <w:rPr>
          <w:rFonts w:ascii="Arial" w:hAnsi="Arial" w:cs="Arial"/>
        </w:rPr>
        <w:t xml:space="preserve"> centrum handlowe</w:t>
      </w:r>
      <w:r>
        <w:rPr>
          <w:rFonts w:ascii="Arial" w:hAnsi="Arial" w:cs="Arial"/>
        </w:rPr>
        <w:t xml:space="preserve"> Gemini Park Tarnów zanotowało obroty wyższe o 29% w porównaniu do czerwca 2019 o 3% r. Gemini Park Tychy w takim porównaniu zanotowało wzrosty odpowiednio o blisko 27% i ponad 5%. Z kolei Gemini Park Bielsko-Biała o 17% i 4%. Co za nimi stoi?</w:t>
      </w:r>
    </w:p>
    <w:p w14:paraId="179441FB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2DB3FD52" w14:textId="44A8B40A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>
        <w:rPr>
          <w:rFonts w:ascii="Arial" w:hAnsi="Arial" w:cs="Arial"/>
          <w:i/>
          <w:iCs/>
        </w:rPr>
        <w:t>Oczywiście jesteśmy beneficjentami dużego entuzjazmu, jaki pojawił się wśród konsumentów, a który wynika zarówno z sezonu letnio-wakacyjnego, dobrej sytuacji epidemiologicznej, jak również możliwości powrotu do zakupów tradycyjnych. Do tego galerie znów spełniają wszystkie swoje funkcje. Na powrót stały się miejscem spędzania czasu i rozrywki, co jest rezultatem otwarcia kin, fitness clubów i lokali gastronomicznych</w:t>
      </w:r>
      <w:r>
        <w:rPr>
          <w:rFonts w:ascii="Arial" w:hAnsi="Arial" w:cs="Arial"/>
          <w:i/>
          <w:iCs/>
        </w:rPr>
        <w:t>. To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 xml:space="preserve">z kolei </w:t>
      </w:r>
      <w:r>
        <w:rPr>
          <w:rFonts w:ascii="Arial" w:hAnsi="Arial" w:cs="Arial"/>
          <w:i/>
          <w:iCs/>
        </w:rPr>
        <w:t>generuje dodatkowy ruch i obrót</w:t>
      </w:r>
      <w:r>
        <w:rPr>
          <w:rFonts w:ascii="Arial" w:hAnsi="Arial" w:cs="Arial"/>
        </w:rPr>
        <w:t xml:space="preserve"> – mówi Anna Malcharek. </w:t>
      </w:r>
    </w:p>
    <w:p w14:paraId="6D0A0309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34235EB7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i/>
          <w:iCs/>
        </w:rPr>
        <w:t>W przypadku centrów Gemini Park procentuje także oferta, która odpowiada dzisiejszemu modelowi zakupów. Ta jest niezwykle kompaktowa i zróżnicowana, a przez to jest w stanie zaspokoić podczas jednego wypadu do galerii często skrajnie różne potrzeby wielopokoleniowej rodziny. Kluczowe dla wyników jest też bezpieczeństwo klienta w naszych obiektach. Wdrożone przez nas procedury, a także działania edukacyjne sprawiły, że reżim sanitarny stał się naturalnym elementem, który po prostu towarzyszy zakupom</w:t>
      </w:r>
      <w:r>
        <w:rPr>
          <w:rFonts w:ascii="Arial" w:hAnsi="Arial" w:cs="Arial"/>
        </w:rPr>
        <w:t xml:space="preserve"> – mówi.</w:t>
      </w:r>
    </w:p>
    <w:p w14:paraId="4BF5626E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1FCDE889" w14:textId="77777777" w:rsidR="00FE4D13" w:rsidRDefault="00FE4D13" w:rsidP="00FE4D13">
      <w:pPr>
        <w:pStyle w:val="Bezodstpw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Wysyp otwarć i finisz rozbudowy</w:t>
      </w:r>
    </w:p>
    <w:p w14:paraId="395E89B1" w14:textId="51F8BBB9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Ale nie tylko rosnący footfall i coraz wyższe obroty napawają Gemini Holding optymizmem. Także perspektywa nowych otwarć. Tylko w ciągu ostatnich 2 miesięcy w centrach Gemini Park zadebiutowało </w:t>
      </w:r>
      <w:r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nowych najemców - Half Price i Media Expert w Gemini Park Tychy oraz AIKO Face&amp;Body Zone, Manzini, New York Pizza i SFD w Gemini Park Bielsko-Biała. </w:t>
      </w:r>
    </w:p>
    <w:p w14:paraId="7AD50E6F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5A97AEEF" w14:textId="4E468B1D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Holding poinformował także o kilku nowych umowach – m.in. z marką PUMA, Lee Cooper i kaes w Gemini Park Tarnów i siecią Action w Gemini Park Tychy. Ta ostatnia pojawi się w powstającej właśnie nowej części centrum.  Oprócz tego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także dotychczasowi najemcy zdecydowali się na inwestycje w lokale. W Tychach w nowym koncepcie otwarte zostało CCC, z kolei w Bielsku-Białej rebranding przeszedł salon Verona, przekształcając się w Yes. W tym samym obiekcie Canal+ z wyspy przeniósł się do lokalu. </w:t>
      </w:r>
    </w:p>
    <w:p w14:paraId="081EF559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26B707BD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Jak zapowiada </w:t>
      </w:r>
      <w:r>
        <w:rPr>
          <w:rFonts w:ascii="Arial" w:hAnsi="Arial" w:cs="Arial"/>
          <w:b/>
          <w:bCs/>
        </w:rPr>
        <w:t>Daniel Słuchocki, Head of Lease w Gemini Holding</w:t>
      </w:r>
      <w:r>
        <w:rPr>
          <w:rFonts w:ascii="Arial" w:hAnsi="Arial" w:cs="Arial"/>
        </w:rPr>
        <w:t xml:space="preserve">, to dopiero początek fali otwarć. - </w:t>
      </w:r>
      <w:r>
        <w:rPr>
          <w:rFonts w:ascii="Arial" w:hAnsi="Arial" w:cs="Arial"/>
          <w:i/>
          <w:iCs/>
        </w:rPr>
        <w:t>Na finiszu są rozmowy z kilkunastoma nowymi najemcami, którzy lada moment wejdą do centrów handlowych w Tarnowie, Tychach i Bielsku-Białej, dopełniając kluczowe dla pozycji galerii segmenty tenant mixu. To efekt pracy zarówno działu leasingu Gemini Holding, jak i naszej współpracy z firmą doradczą Colliers, która od lutego wspiera nas w procesie komercjalizacji. Najbliższe tygodnie zapowiadają się więc dość intensywnie, co cieszy biorąc pod uwagę wyzwania, z jakimi wciąż zmaga się rynek retail w Polsce i na świecie</w:t>
      </w:r>
      <w:r>
        <w:rPr>
          <w:rFonts w:ascii="Arial" w:hAnsi="Arial" w:cs="Arial"/>
        </w:rPr>
        <w:t xml:space="preserve"> – komentuje.</w:t>
      </w:r>
    </w:p>
    <w:p w14:paraId="56B09E2C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50B0E6E2" w14:textId="77777777" w:rsidR="00FE4D13" w:rsidRDefault="00FE4D13" w:rsidP="00FE4D1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Wbrew rynkowym trudnościom na ukończeniu jest także rozbudowa Gemini Park Tychy. Prace wchodzą właśnie w ostatni etap. W ich efekcie, obiekt zyska dodatkowo ok. 7 tys. m kw. Powierzchnię tę wypełnią nowe sklepy i punkty usługowe, a także restauracje i największe w Tychach kino. – </w:t>
      </w:r>
      <w:r>
        <w:rPr>
          <w:rFonts w:ascii="Arial" w:hAnsi="Arial" w:cs="Arial"/>
          <w:i/>
          <w:iCs/>
        </w:rPr>
        <w:t xml:space="preserve">Komercjalizacja nowej części jest już bardzo zaawansowana, a co za tym idzie lada moment ogłosimy pierwszą pulę najemców. Oprócz sieci Action, która w nowej części zadebiutuje jeszcze przed jej otwarciem, finalizowane są właśnie rozmowy m.in. z operatorem kinowym. Oferta tego ostatniego zaskoczy naszych klientów, ale także rynek </w:t>
      </w:r>
      <w:r>
        <w:rPr>
          <w:rFonts w:ascii="Arial" w:hAnsi="Arial" w:cs="Arial"/>
        </w:rPr>
        <w:t>– zapowiada Słuchocki.</w:t>
      </w:r>
    </w:p>
    <w:p w14:paraId="2D965155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7ABAEC90" w14:textId="77777777" w:rsidR="00FE4D13" w:rsidRDefault="00FE4D13" w:rsidP="00FE4D13">
      <w:pPr>
        <w:pStyle w:val="Bezodstpw"/>
        <w:rPr>
          <w:rFonts w:ascii="Arial" w:hAnsi="Arial" w:cs="Arial"/>
        </w:rPr>
      </w:pPr>
    </w:p>
    <w:p w14:paraId="3CFBED51" w14:textId="6637CD05" w:rsidR="005D0445" w:rsidRPr="007751EF" w:rsidRDefault="005517E1" w:rsidP="00F73374">
      <w:pPr>
        <w:pStyle w:val="Bezodstpw"/>
        <w:rPr>
          <w:rFonts w:ascii="Arial" w:hAnsi="Arial" w:cs="Arial"/>
        </w:rPr>
      </w:pPr>
      <w:r w:rsidRPr="00B41DFF">
        <w:rPr>
          <w:rFonts w:ascii="Arial" w:eastAsia="Times New Roman" w:hAnsi="Arial" w:cs="Arial"/>
          <w:sz w:val="16"/>
          <w:szCs w:val="16"/>
          <w:lang w:eastAsia="pl-PL"/>
        </w:rPr>
        <w:t xml:space="preserve">Źródło: </w:t>
      </w:r>
      <w:proofErr w:type="spellStart"/>
      <w:r w:rsidRPr="00B41DFF">
        <w:rPr>
          <w:rFonts w:ascii="Arial" w:eastAsia="Times New Roman" w:hAnsi="Arial" w:cs="Arial"/>
          <w:sz w:val="16"/>
          <w:szCs w:val="16"/>
          <w:lang w:eastAsia="pl-PL"/>
        </w:rPr>
        <w:t>Gemini</w:t>
      </w:r>
      <w:proofErr w:type="spellEnd"/>
      <w:r w:rsidRPr="00B41DFF">
        <w:rPr>
          <w:rFonts w:ascii="Arial" w:eastAsia="Times New Roman" w:hAnsi="Arial" w:cs="Arial"/>
          <w:sz w:val="16"/>
          <w:szCs w:val="16"/>
          <w:lang w:eastAsia="pl-PL"/>
        </w:rPr>
        <w:t xml:space="preserve"> Holding/Guarana PR</w:t>
      </w:r>
      <w:r w:rsidRPr="007751EF">
        <w:rPr>
          <w:rFonts w:ascii="Arial" w:eastAsia="Times New Roman" w:hAnsi="Arial" w:cs="Arial"/>
          <w:lang w:eastAsia="pl-PL"/>
        </w:rPr>
        <w:br/>
      </w:r>
      <w:r w:rsidRPr="00B41DFF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Gemini Holding Sp. z o.o.</w:t>
      </w:r>
      <w:r w:rsidRPr="007751EF">
        <w:rPr>
          <w:rFonts w:ascii="Arial" w:eastAsia="Times New Roman" w:hAnsi="Arial" w:cs="Arial"/>
          <w:sz w:val="16"/>
          <w:szCs w:val="16"/>
          <w:lang w:eastAsia="pl-PL"/>
        </w:rPr>
        <w:t xml:space="preserve">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Gemini Park Tych</w:t>
      </w:r>
      <w:r w:rsidR="00B41DFF">
        <w:rPr>
          <w:rFonts w:ascii="Arial" w:eastAsia="Times New Roman" w:hAnsi="Arial" w:cs="Arial"/>
          <w:sz w:val="16"/>
          <w:szCs w:val="16"/>
          <w:lang w:eastAsia="pl-PL"/>
        </w:rPr>
        <w:t>y.</w:t>
      </w:r>
      <w:r w:rsidRPr="007751EF">
        <w:rPr>
          <w:rFonts w:ascii="Arial" w:eastAsia="Times New Roman" w:hAnsi="Arial" w:cs="Arial"/>
          <w:lang w:eastAsia="pl-PL"/>
        </w:rPr>
        <w:br/>
      </w:r>
    </w:p>
    <w:sectPr w:rsidR="005D0445" w:rsidRPr="007751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C8C66" w14:textId="77777777" w:rsidR="00DA68CC" w:rsidRDefault="00DA68CC">
      <w:pPr>
        <w:spacing w:after="0" w:line="240" w:lineRule="auto"/>
      </w:pPr>
      <w:r>
        <w:separator/>
      </w:r>
    </w:p>
  </w:endnote>
  <w:endnote w:type="continuationSeparator" w:id="0">
    <w:p w14:paraId="6B53F5BD" w14:textId="77777777" w:rsidR="00DA68CC" w:rsidRDefault="00DA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6593" w14:textId="77777777" w:rsidR="00DA68CC" w:rsidRDefault="00DA68CC">
      <w:pPr>
        <w:spacing w:after="0" w:line="240" w:lineRule="auto"/>
      </w:pPr>
      <w:r>
        <w:separator/>
      </w:r>
    </w:p>
  </w:footnote>
  <w:footnote w:type="continuationSeparator" w:id="0">
    <w:p w14:paraId="5E8935A8" w14:textId="77777777" w:rsidR="00DA68CC" w:rsidRDefault="00DA6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3D7F"/>
    <w:multiLevelType w:val="hybridMultilevel"/>
    <w:tmpl w:val="E8D48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87FD8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53A84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6E3276"/>
    <w:rsid w:val="0070795D"/>
    <w:rsid w:val="007132F2"/>
    <w:rsid w:val="00723890"/>
    <w:rsid w:val="007245D4"/>
    <w:rsid w:val="0073580B"/>
    <w:rsid w:val="00741490"/>
    <w:rsid w:val="0077455E"/>
    <w:rsid w:val="007751EF"/>
    <w:rsid w:val="007840EA"/>
    <w:rsid w:val="007A27A9"/>
    <w:rsid w:val="007C4329"/>
    <w:rsid w:val="007D5C91"/>
    <w:rsid w:val="007D5CED"/>
    <w:rsid w:val="007E1876"/>
    <w:rsid w:val="0080125B"/>
    <w:rsid w:val="0080440A"/>
    <w:rsid w:val="00866625"/>
    <w:rsid w:val="00871473"/>
    <w:rsid w:val="00883087"/>
    <w:rsid w:val="00886FBF"/>
    <w:rsid w:val="00887146"/>
    <w:rsid w:val="00896AE5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41DFF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1C0B"/>
    <w:rsid w:val="00D64AA6"/>
    <w:rsid w:val="00D71C04"/>
    <w:rsid w:val="00D72983"/>
    <w:rsid w:val="00D76721"/>
    <w:rsid w:val="00D97199"/>
    <w:rsid w:val="00DA68CC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8661D"/>
    <w:rsid w:val="00EC01D8"/>
    <w:rsid w:val="00EE16A9"/>
    <w:rsid w:val="00EF0489"/>
    <w:rsid w:val="00F00A8F"/>
    <w:rsid w:val="00F46372"/>
    <w:rsid w:val="00F73374"/>
    <w:rsid w:val="00F7465E"/>
    <w:rsid w:val="00FC5323"/>
    <w:rsid w:val="00FC6527"/>
    <w:rsid w:val="00FD2FD1"/>
    <w:rsid w:val="00FD46E6"/>
    <w:rsid w:val="00FE4D13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  <w15:docId w15:val="{410B01B7-5781-4DC1-8719-348393C3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Konto Majkrosoft</cp:lastModifiedBy>
  <cp:revision>2</cp:revision>
  <dcterms:created xsi:type="dcterms:W3CDTF">2021-07-21T06:41:00Z</dcterms:created>
  <dcterms:modified xsi:type="dcterms:W3CDTF">2021-07-21T06:41:00Z</dcterms:modified>
</cp:coreProperties>
</file>