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DE31C" w14:textId="771E4266" w:rsidR="00025EBD" w:rsidRPr="007751EF" w:rsidRDefault="007840EA" w:rsidP="00025EBD">
      <w:pPr>
        <w:pStyle w:val="Bezodstpw"/>
        <w:rPr>
          <w:rFonts w:ascii="Arial" w:eastAsia="Times New Roman" w:hAnsi="Arial" w:cs="Arial"/>
          <w:lang w:eastAsia="pl-PL"/>
        </w:rPr>
      </w:pPr>
      <w:r w:rsidRPr="007751EF">
        <w:rPr>
          <w:rFonts w:ascii="Arial" w:eastAsia="Times New Roman" w:hAnsi="Arial" w:cs="Arial"/>
          <w:lang w:eastAsia="pl-PL"/>
        </w:rPr>
        <w:br/>
        <w:t>Informacja prasowa:</w:t>
      </w:r>
      <w:r w:rsidR="00E8661D" w:rsidRPr="007751EF">
        <w:rPr>
          <w:rFonts w:ascii="Arial" w:eastAsia="Times New Roman" w:hAnsi="Arial" w:cs="Arial"/>
          <w:lang w:eastAsia="pl-PL"/>
        </w:rPr>
        <w:t xml:space="preserve"> </w:t>
      </w:r>
      <w:r w:rsidR="007751EF">
        <w:rPr>
          <w:rFonts w:ascii="Arial" w:eastAsia="Times New Roman" w:hAnsi="Arial" w:cs="Arial"/>
          <w:lang w:eastAsia="pl-PL"/>
        </w:rPr>
        <w:t>13-07</w:t>
      </w:r>
      <w:r w:rsidR="006B6352" w:rsidRPr="007751EF">
        <w:rPr>
          <w:rFonts w:ascii="Arial" w:eastAsia="Times New Roman" w:hAnsi="Arial" w:cs="Arial"/>
          <w:lang w:eastAsia="pl-PL"/>
        </w:rPr>
        <w:t>-2021</w:t>
      </w:r>
      <w:r w:rsidR="005517E1" w:rsidRPr="007751EF">
        <w:rPr>
          <w:rFonts w:ascii="Arial" w:eastAsia="Times New Roman" w:hAnsi="Arial" w:cs="Arial"/>
          <w:lang w:eastAsia="pl-PL"/>
        </w:rPr>
        <w:t>, Kraków</w:t>
      </w:r>
      <w:r w:rsidR="005517E1" w:rsidRPr="007751EF">
        <w:rPr>
          <w:rFonts w:ascii="Arial" w:eastAsia="Times New Roman" w:hAnsi="Arial" w:cs="Arial"/>
          <w:lang w:eastAsia="pl-PL"/>
        </w:rPr>
        <w:br/>
        <w:t>Biuro Prasowe Gemini Holding</w:t>
      </w:r>
      <w:r w:rsidR="005517E1" w:rsidRPr="007751EF">
        <w:rPr>
          <w:rFonts w:ascii="Arial" w:eastAsia="Times New Roman" w:hAnsi="Arial" w:cs="Arial"/>
          <w:lang w:eastAsia="pl-PL"/>
        </w:rPr>
        <w:br/>
        <w:t>Tomasz Pietrzak/Guarana Public Relations</w:t>
      </w:r>
      <w:r w:rsidR="005517E1" w:rsidRPr="007751EF">
        <w:rPr>
          <w:rFonts w:ascii="Arial" w:eastAsia="Times New Roman" w:hAnsi="Arial" w:cs="Arial"/>
          <w:lang w:eastAsia="pl-PL"/>
        </w:rPr>
        <w:br/>
        <w:t xml:space="preserve">tel. 509 106 256 mail. tomasz.pietrzak[at]guaranapr.pl </w:t>
      </w:r>
    </w:p>
    <w:p w14:paraId="4B273908" w14:textId="3AC3BFF3" w:rsidR="007751EF" w:rsidRPr="007751EF" w:rsidRDefault="007751EF" w:rsidP="00025EBD">
      <w:pPr>
        <w:pStyle w:val="Bezodstpw"/>
        <w:rPr>
          <w:rFonts w:ascii="Arial" w:eastAsia="Times New Roman" w:hAnsi="Arial" w:cs="Arial"/>
          <w:lang w:eastAsia="pl-PL"/>
        </w:rPr>
      </w:pPr>
    </w:p>
    <w:p w14:paraId="617ABEF2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317E4312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  <w:sz w:val="32"/>
          <w:szCs w:val="32"/>
        </w:rPr>
      </w:pPr>
      <w:proofErr w:type="spellStart"/>
      <w:r w:rsidRPr="007751EF">
        <w:rPr>
          <w:rFonts w:ascii="Arial" w:hAnsi="Arial" w:cs="Arial"/>
          <w:b/>
          <w:bCs/>
          <w:sz w:val="32"/>
          <w:szCs w:val="32"/>
        </w:rPr>
        <w:t>Gemini</w:t>
      </w:r>
      <w:proofErr w:type="spellEnd"/>
      <w:r w:rsidRPr="007751EF">
        <w:rPr>
          <w:rFonts w:ascii="Arial" w:hAnsi="Arial" w:cs="Arial"/>
          <w:b/>
          <w:bCs/>
          <w:sz w:val="32"/>
          <w:szCs w:val="32"/>
        </w:rPr>
        <w:t xml:space="preserve"> Holding: klienci wrócili do galerii. Obserwuje się wysoką konwersję</w:t>
      </w:r>
    </w:p>
    <w:p w14:paraId="53DFC76E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5DADBA1D" w14:textId="77777777" w:rsidR="007751EF" w:rsidRDefault="007751EF" w:rsidP="007751EF">
      <w:pPr>
        <w:pStyle w:val="Bezodstpw"/>
        <w:rPr>
          <w:rFonts w:ascii="Arial" w:hAnsi="Arial" w:cs="Arial"/>
        </w:rPr>
      </w:pPr>
    </w:p>
    <w:p w14:paraId="4AF2A226" w14:textId="06E6C204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  <w:r w:rsidRPr="007751EF">
        <w:rPr>
          <w:rFonts w:ascii="Arial" w:hAnsi="Arial" w:cs="Arial"/>
        </w:rPr>
        <w:t xml:space="preserve">Najniższy od miesięcy wskaźnik niepokoju, odroczone zakupy, wakacje – jest wiele czynników, które dziś przyczyniają się do ożywienia w centrach handlowych. I chociaż wskaźniki odwiedzin dopiero zbliżają się do wyników sprzed pandemii, na rynku znów wyczuwalny jest ostrożny optymizm. Sytuację komentuje </w:t>
      </w:r>
      <w:r w:rsidRPr="007751EF">
        <w:rPr>
          <w:rFonts w:ascii="Arial" w:hAnsi="Arial" w:cs="Arial"/>
          <w:b/>
          <w:bCs/>
        </w:rPr>
        <w:t>Anna Malcharek, dyrektor zarządzający Gemini Holding.</w:t>
      </w:r>
    </w:p>
    <w:p w14:paraId="594367D1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</w:p>
    <w:p w14:paraId="09F298DE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</w:p>
    <w:p w14:paraId="3ADF2B41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  <w:r w:rsidRPr="007751EF">
        <w:rPr>
          <w:rFonts w:ascii="Arial" w:hAnsi="Arial" w:cs="Arial"/>
          <w:b/>
          <w:bCs/>
        </w:rPr>
        <w:t>Red. Z perspektywy 2 miesięcy od zniesienia lockdownu możemy mówić o udanym re-openingu handlu w galeriach, czy to tylko dobry PR?</w:t>
      </w:r>
    </w:p>
    <w:p w14:paraId="1E8B35B5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</w:p>
    <w:p w14:paraId="5D98131B" w14:textId="7B73401A" w:rsidR="007751EF" w:rsidRPr="007751EF" w:rsidRDefault="007751EF" w:rsidP="007751EF">
      <w:pPr>
        <w:pStyle w:val="Bezodstpw"/>
        <w:rPr>
          <w:rFonts w:ascii="Arial" w:hAnsi="Arial" w:cs="Arial"/>
        </w:rPr>
      </w:pPr>
      <w:r w:rsidRPr="007751EF">
        <w:rPr>
          <w:rFonts w:ascii="Arial" w:hAnsi="Arial" w:cs="Arial"/>
          <w:b/>
          <w:bCs/>
          <w:i/>
          <w:iCs/>
        </w:rPr>
        <w:t>Anna Malcharek</w:t>
      </w:r>
      <w:r w:rsidRPr="007751EF">
        <w:rPr>
          <w:rFonts w:ascii="Arial" w:hAnsi="Arial" w:cs="Arial"/>
          <w:i/>
          <w:iCs/>
        </w:rPr>
        <w:t>:</w:t>
      </w:r>
      <w:r w:rsidRPr="007751EF">
        <w:rPr>
          <w:rFonts w:ascii="Arial" w:hAnsi="Arial" w:cs="Arial"/>
        </w:rPr>
        <w:t xml:space="preserve"> Bez wątpienia handel wrócił, co widać zarówno w danych spływających z centrów handlowych, jak i w danych makroekonomicznych. Maj przyniósł spodziewany i oczekiwany „efekt odbicia”. Notowany przez PRCH footfall już w pierwszym tygodniu uplasował się na wysokim poziomie 97 proc., względem 2019 roku. Kolejne tygodnie przyniosły stabilizację footfallu i jego korektę W efekcie, jak podaje PRCH, maj zakończono ze wskaźnikiem powrotu na poziomie 83 proc., 33 proc. wyższym niż w tym samym czasie w 2020 roku. To ustawiło handel w galeriach na dobrej pozycji startowej, generując wysoką konwersję. O tym, że otwarcie było udane, można przekonać się przyglądając się chociażby danym GUS.  Jak podaje urząd, majowa sprzedaż detaliczna była o blisko 14 proc. wyższa niż rok temu. Prawdziwy boom zanotowano w segmencie odzieżowym. Tu obroty rok do roku wzrosły aż o 46 proc., co jest zasługą otwarcia sklepów w centrach handlowych. Czerwiec ten trend umocnił. Jak podaje PRCH, w czerwcu do galerii wróciło 81% klientów, jeśli zestawić ten wskaźnik ze wskaźnikiem z czerwca 2019 roku</w:t>
      </w:r>
      <w:r>
        <w:rPr>
          <w:rFonts w:ascii="Arial" w:hAnsi="Arial" w:cs="Arial"/>
        </w:rPr>
        <w:t xml:space="preserve">. Był to </w:t>
      </w:r>
      <w:r w:rsidRPr="007751EF">
        <w:rPr>
          <w:rFonts w:ascii="Arial" w:hAnsi="Arial" w:cs="Arial"/>
        </w:rPr>
        <w:t>jednocześnie</w:t>
      </w:r>
      <w:r>
        <w:rPr>
          <w:rFonts w:ascii="Arial" w:hAnsi="Arial" w:cs="Arial"/>
        </w:rPr>
        <w:t xml:space="preserve"> wynik</w:t>
      </w:r>
      <w:r w:rsidRPr="007751EF">
        <w:rPr>
          <w:rFonts w:ascii="Arial" w:hAnsi="Arial" w:cs="Arial"/>
        </w:rPr>
        <w:t xml:space="preserve"> o 12% </w:t>
      </w:r>
      <w:r>
        <w:rPr>
          <w:rFonts w:ascii="Arial" w:hAnsi="Arial" w:cs="Arial"/>
        </w:rPr>
        <w:t xml:space="preserve">lepszy niż </w:t>
      </w:r>
      <w:r w:rsidRPr="007751EF">
        <w:rPr>
          <w:rFonts w:ascii="Arial" w:hAnsi="Arial" w:cs="Arial"/>
        </w:rPr>
        <w:t xml:space="preserve">w tym samym czasie przed rokiem. </w:t>
      </w:r>
    </w:p>
    <w:p w14:paraId="2E21CF0C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6210C9D6" w14:textId="0F6F0FC6" w:rsidR="007751EF" w:rsidRDefault="007751EF" w:rsidP="007751EF">
      <w:pPr>
        <w:pStyle w:val="Bezodstpw"/>
        <w:rPr>
          <w:rFonts w:ascii="Arial" w:hAnsi="Arial" w:cs="Arial"/>
          <w:b/>
          <w:bCs/>
        </w:rPr>
      </w:pPr>
      <w:r w:rsidRPr="007751EF">
        <w:rPr>
          <w:rFonts w:ascii="Arial" w:hAnsi="Arial" w:cs="Arial"/>
          <w:b/>
          <w:bCs/>
        </w:rPr>
        <w:t>Red. Co przede wszystkim przyczyniło się do ożywienia handlu?</w:t>
      </w:r>
    </w:p>
    <w:p w14:paraId="32BCC8D1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</w:p>
    <w:p w14:paraId="391C05B6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  <w:r w:rsidRPr="007751EF">
        <w:rPr>
          <w:rFonts w:ascii="Arial" w:hAnsi="Arial" w:cs="Arial"/>
          <w:b/>
          <w:bCs/>
          <w:i/>
          <w:iCs/>
        </w:rPr>
        <w:t>Anna Malcharek:</w:t>
      </w:r>
      <w:r w:rsidRPr="007751EF">
        <w:rPr>
          <w:rFonts w:ascii="Arial" w:hAnsi="Arial" w:cs="Arial"/>
        </w:rPr>
        <w:t xml:space="preserve"> Zakupy w maju i czerwcu zdominowała odroczona konsumpcja. Po 1,5 miesiąca odcięcia od sklepów stacjonarnych, nagromadziło się potrzeb zakupowych, które można było w końcu zaspokoić. Sprzyjała temu duża dynamika luzowania obostrzeń w każdym aspekcie życia, zmiana pory roku, a także coraz mniejsza tendencja do zaciskania pasa. Jak podaje Deloitte, w maju tylko 37% Polaków powstrzymywało się od większych zakupów, co było najlepszym wynikiem od miesięcy. W czerwcu ten wskaźnik spadł już do poziomu 32 proc.  Handlowi pomogły także dodatkowe czynniki. Przede wszystkim intensywny sezon mid season sale, a także powrót zakupów okazjonalnych, związanych m.in. z wyjazdami na weekendy i wakacje, rodzinnymi uroczystościami, szkołą czy sportem. Przełom maja i czerwca przyniósł także zniesienie ograniczeń w rozrywce i gastronomii. To ostatnie sprawiło, że obserwowaliśmy drugą falę powrotów, która podbiła czerwcowy footfall.</w:t>
      </w:r>
    </w:p>
    <w:p w14:paraId="0313F156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2F1E1808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  <w:r w:rsidRPr="007751EF">
        <w:rPr>
          <w:rFonts w:ascii="Arial" w:hAnsi="Arial" w:cs="Arial"/>
          <w:b/>
          <w:bCs/>
        </w:rPr>
        <w:t>Red. Nastroje społeczne też miały w tym swój udział?</w:t>
      </w:r>
    </w:p>
    <w:p w14:paraId="308CAFB2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</w:p>
    <w:p w14:paraId="203D0068" w14:textId="0F70C203" w:rsidR="007751EF" w:rsidRPr="007751EF" w:rsidRDefault="007751EF" w:rsidP="007751EF">
      <w:pPr>
        <w:pStyle w:val="Bezodstpw"/>
        <w:rPr>
          <w:rFonts w:ascii="Arial" w:hAnsi="Arial" w:cs="Arial"/>
        </w:rPr>
      </w:pPr>
      <w:r w:rsidRPr="007751EF">
        <w:rPr>
          <w:rFonts w:ascii="Arial" w:hAnsi="Arial" w:cs="Arial"/>
          <w:b/>
          <w:bCs/>
          <w:i/>
          <w:iCs/>
        </w:rPr>
        <w:lastRenderedPageBreak/>
        <w:t>Anna Malcharek:</w:t>
      </w:r>
      <w:r w:rsidRPr="007751EF">
        <w:rPr>
          <w:rFonts w:ascii="Arial" w:hAnsi="Arial" w:cs="Arial"/>
        </w:rPr>
        <w:t xml:space="preserve"> Zdecydowanie. Już dawno Polacy nie czuli się tak bezpiecznie na zakupach jak teraz. Najnowszy raport Deloitte pokazuje, że w czerwcu aż 74% Polaków nie miało żadnych obaw przed wizytą w sklepie, To najlepszy wynik od wybuchu pandemii! Ten wzrost zresztą zapowiadał już maj. Co więcej, aż 61% Polaków czuje się dziś bezpiecznie idąc do restauracji i kawiarni, a blisko połowa nie ma nic przeciwko uczestniczeniu w eventach. To również najlepsze od miesięcy wyniki, dobrze rokujące na kolejne, wakacyjne miesiące, które będą kluczowe dla procesu odbudowywania footfallu i obrotów. Duża w tym zasługa, spadającej liczby zakażeń, akcji szczepień, jak i przygotowania galerii. Centra handlowe od początku pandemii działają w rygorze sanitarnym, co więcej, wzięły na siebie ciężar edukacji klienta</w:t>
      </w:r>
      <w:r>
        <w:rPr>
          <w:rFonts w:ascii="Arial" w:hAnsi="Arial" w:cs="Arial"/>
        </w:rPr>
        <w:t>,</w:t>
      </w:r>
      <w:r w:rsidRPr="007751EF">
        <w:rPr>
          <w:rFonts w:ascii="Arial" w:hAnsi="Arial" w:cs="Arial"/>
        </w:rPr>
        <w:t xml:space="preserve"> pokazując, jak robić zakupy w bezpiecznych warunkach. Galerie realizują dziś nie tylko rządowe zalecenia dotyczące reżimu sanitarnego, ale także posiadają własne, rozbudowane procedury dotyczące bezpieczeństwa i czystości. To klienci dostrzegają i doceniają.</w:t>
      </w:r>
    </w:p>
    <w:p w14:paraId="7FBC3EC9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73C18F31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639F3379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  <w:r w:rsidRPr="007751EF">
        <w:rPr>
          <w:rFonts w:ascii="Arial" w:hAnsi="Arial" w:cs="Arial"/>
          <w:b/>
          <w:bCs/>
        </w:rPr>
        <w:t>Red. Pozytywne trendy na rynku udzielają się także centrom Gemini Park?</w:t>
      </w:r>
    </w:p>
    <w:p w14:paraId="6D869FB7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</w:p>
    <w:p w14:paraId="60AA2BDC" w14:textId="0694B299" w:rsidR="007751EF" w:rsidRPr="007751EF" w:rsidRDefault="007751EF" w:rsidP="007751EF">
      <w:pPr>
        <w:pStyle w:val="Bezodstpw"/>
        <w:rPr>
          <w:rFonts w:ascii="Arial" w:hAnsi="Arial" w:cs="Arial"/>
        </w:rPr>
      </w:pPr>
      <w:r w:rsidRPr="007751EF">
        <w:rPr>
          <w:rFonts w:ascii="Arial" w:hAnsi="Arial" w:cs="Arial"/>
          <w:b/>
          <w:bCs/>
        </w:rPr>
        <w:t>Anna Malcharek</w:t>
      </w:r>
      <w:r w:rsidRPr="007751EF">
        <w:rPr>
          <w:rFonts w:ascii="Arial" w:hAnsi="Arial" w:cs="Arial"/>
        </w:rPr>
        <w:t xml:space="preserve">: Owszem, znajdują one odzwierciedlenie w wynikach trzech obiektów Gemini Park. Co więcej, w wielu przypadkach są one znacznie lepsze niż obserwowane na rynku, co tylko potwierdza mocne otwarcie handlu po </w:t>
      </w:r>
      <w:r>
        <w:rPr>
          <w:rFonts w:ascii="Arial" w:hAnsi="Arial" w:cs="Arial"/>
        </w:rPr>
        <w:t>lockdownie</w:t>
      </w:r>
      <w:r w:rsidRPr="007751EF">
        <w:rPr>
          <w:rFonts w:ascii="Arial" w:hAnsi="Arial" w:cs="Arial"/>
        </w:rPr>
        <w:t xml:space="preserve">. Widać to chociażby na przykładzie Gemini Park Tychy. W maju do centrum wróciło aż 95% klientów, porównując wyniki z majem 2019. Był to jednocześnie wynik o ponad 30% lepszy niż przed rokiem. Czerwiec umocnił ten trend. Również Gemini Park Bielsko-Biała zanotował dobre otwarcie.  Majowy footfall uplasował się tu na poziomie blisko 80% względem footfallu w maju 2019 r. Był on jednocześnie o 29% lepszy niż rok temu, kiedy po raz pierwszym „odmrażano” handel.  Trend wzrostowy również tu utrzymał się w czerwcu.  </w:t>
      </w:r>
      <w:r>
        <w:rPr>
          <w:rFonts w:ascii="Arial" w:hAnsi="Arial" w:cs="Arial"/>
        </w:rPr>
        <w:t>W m</w:t>
      </w:r>
      <w:r w:rsidRPr="007751EF">
        <w:rPr>
          <w:rFonts w:ascii="Arial" w:hAnsi="Arial" w:cs="Arial"/>
        </w:rPr>
        <w:t xml:space="preserve">inionym miesiącu footfall oscylował na poziomie 87% footfallu z czerwca 2019 i znów był aż o 10% lepszy niż równo rok temu. Odradzający się ruch mocno konwertował. Jak bardzo można zauważyć na przykładzie Gemini Park Tarnów.  Rok do roku obroty w maju były tu aż o 72% wyższe, z kolei w stosunku do maja 2019 roku o 13%. Ten efekt powrotów widać też </w:t>
      </w:r>
      <w:r>
        <w:rPr>
          <w:rFonts w:ascii="Arial" w:hAnsi="Arial" w:cs="Arial"/>
        </w:rPr>
        <w:t xml:space="preserve">w </w:t>
      </w:r>
      <w:r w:rsidRPr="007751EF">
        <w:rPr>
          <w:rFonts w:ascii="Arial" w:hAnsi="Arial" w:cs="Arial"/>
        </w:rPr>
        <w:t>wartości koszyka zakupowego klienta. W bielskim Gemini Park w maju 2021 roku był on aż o 40% większy niż w maju 2019, w tarnowskim obiekcie z kolei jego wartość była większa o 49%. Także rok do roku widać wzrosty, w Bielsku-Białej o 19%, w Tarnowie o 41%. To pokazuje nie tylko jak duża jest dziś dynamika powrotów, ale przede wszystkim jak bardzo stęsknieni byliśmy za zakupową normalnością, w której mamy dostęp do kompletnej oferty, mimo reżimu sanitarnego.</w:t>
      </w:r>
    </w:p>
    <w:p w14:paraId="7B6184D7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673217DA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</w:rPr>
      </w:pPr>
      <w:r w:rsidRPr="007751EF">
        <w:rPr>
          <w:rFonts w:ascii="Arial" w:hAnsi="Arial" w:cs="Arial"/>
          <w:b/>
          <w:bCs/>
        </w:rPr>
        <w:t>Red. Na rynku czuć optymizm?</w:t>
      </w:r>
    </w:p>
    <w:p w14:paraId="07C9E7D5" w14:textId="77777777" w:rsidR="007751EF" w:rsidRPr="007751EF" w:rsidRDefault="007751EF" w:rsidP="007751EF">
      <w:pPr>
        <w:pStyle w:val="Bezodstpw"/>
        <w:rPr>
          <w:rFonts w:ascii="Arial" w:hAnsi="Arial" w:cs="Arial"/>
          <w:b/>
          <w:bCs/>
          <w:i/>
          <w:iCs/>
        </w:rPr>
      </w:pPr>
    </w:p>
    <w:p w14:paraId="67CF7D7D" w14:textId="77777777" w:rsidR="007751EF" w:rsidRPr="007751EF" w:rsidRDefault="007751EF" w:rsidP="007751EF">
      <w:pPr>
        <w:pStyle w:val="Bezodstpw"/>
        <w:rPr>
          <w:rFonts w:ascii="Arial" w:hAnsi="Arial" w:cs="Arial"/>
          <w:color w:val="122228"/>
          <w:shd w:val="clear" w:color="auto" w:fill="FFFFFF"/>
        </w:rPr>
      </w:pPr>
      <w:r w:rsidRPr="007751EF">
        <w:rPr>
          <w:rFonts w:ascii="Arial" w:hAnsi="Arial" w:cs="Arial"/>
          <w:b/>
          <w:bCs/>
          <w:i/>
          <w:iCs/>
        </w:rPr>
        <w:t>Anna Malcharek:</w:t>
      </w:r>
      <w:r w:rsidRPr="007751EF">
        <w:rPr>
          <w:rFonts w:ascii="Arial" w:hAnsi="Arial" w:cs="Arial"/>
        </w:rPr>
        <w:t xml:space="preserve"> Tak, chociaż ostrożny. Cieszy to, że klienci wracają, a także to, że zarówno maj jak i czerwiec były miesiącami dużej konwersji. Oznacza to, że pojedynczy klient wydaje dziś znacznie więcej, niż przed pandemią. Najlepiej widać to chociażby w wynikach bielskiego Gemini Park, gdzie już w maju </w:t>
      </w:r>
      <w:r w:rsidRPr="007751EF">
        <w:rPr>
          <w:rFonts w:ascii="Arial" w:hAnsi="Arial" w:cs="Arial"/>
          <w:color w:val="122228"/>
          <w:shd w:val="clear" w:color="auto" w:fill="FFFFFF"/>
        </w:rPr>
        <w:t>wartość średniego koszyka zakupowego klienta galerii była wyższa aż o 40% w porównaniu do 2019 roku. Można więc zaryzykować stwierdzenie, że galerie stały się miejscem robienia bardzo konkretnych, ale i bardzo dużych zakupów. To pozytywna zmiana jaką obserwujemy, a która dobrze wróży procesowi odbudowy.</w:t>
      </w:r>
    </w:p>
    <w:p w14:paraId="70D80EC7" w14:textId="77777777" w:rsidR="007751EF" w:rsidRDefault="007751EF" w:rsidP="00F73374">
      <w:pPr>
        <w:pStyle w:val="Bezodstpw"/>
        <w:rPr>
          <w:rFonts w:ascii="Arial" w:hAnsi="Arial" w:cs="Arial"/>
          <w:color w:val="122228"/>
          <w:shd w:val="clear" w:color="auto" w:fill="FFFFFF"/>
        </w:rPr>
      </w:pPr>
    </w:p>
    <w:p w14:paraId="3CFBED51" w14:textId="6637CD05" w:rsidR="005D0445" w:rsidRPr="007751EF" w:rsidRDefault="005517E1" w:rsidP="00F73374">
      <w:pPr>
        <w:pStyle w:val="Bezodstpw"/>
        <w:rPr>
          <w:rFonts w:ascii="Arial" w:hAnsi="Arial" w:cs="Arial"/>
        </w:rPr>
      </w:pPr>
      <w:r w:rsidRPr="00B41DFF">
        <w:rPr>
          <w:rFonts w:ascii="Arial" w:eastAsia="Times New Roman" w:hAnsi="Arial" w:cs="Arial"/>
          <w:sz w:val="16"/>
          <w:szCs w:val="16"/>
          <w:lang w:eastAsia="pl-PL"/>
        </w:rPr>
        <w:t xml:space="preserve">Źródło: </w:t>
      </w:r>
      <w:proofErr w:type="spellStart"/>
      <w:r w:rsidRPr="00B41DFF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B41DFF">
        <w:rPr>
          <w:rFonts w:ascii="Arial" w:eastAsia="Times New Roman" w:hAnsi="Arial" w:cs="Arial"/>
          <w:sz w:val="16"/>
          <w:szCs w:val="16"/>
          <w:lang w:eastAsia="pl-PL"/>
        </w:rPr>
        <w:t xml:space="preserve"> Holding/Guarana PR</w:t>
      </w:r>
      <w:r w:rsidRPr="007751EF">
        <w:rPr>
          <w:rFonts w:ascii="Arial" w:eastAsia="Times New Roman" w:hAnsi="Arial" w:cs="Arial"/>
          <w:lang w:eastAsia="pl-PL"/>
        </w:rPr>
        <w:br/>
      </w:r>
      <w:proofErr w:type="spellStart"/>
      <w:r w:rsidRPr="00B41DFF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Gemini</w:t>
      </w:r>
      <w:proofErr w:type="spellEnd"/>
      <w:r w:rsidRPr="00B41DFF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Holding Sp. z o.o.</w:t>
      </w:r>
      <w:r w:rsidRPr="007751EF">
        <w:rPr>
          <w:rFonts w:ascii="Arial" w:eastAsia="Times New Roman" w:hAnsi="Arial" w:cs="Arial"/>
          <w:sz w:val="16"/>
          <w:szCs w:val="16"/>
          <w:lang w:eastAsia="pl-PL"/>
        </w:rPr>
        <w:t xml:space="preserve">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Gemini Park Tych</w:t>
      </w:r>
      <w:r w:rsidR="00B41DFF">
        <w:rPr>
          <w:rFonts w:ascii="Arial" w:eastAsia="Times New Roman" w:hAnsi="Arial" w:cs="Arial"/>
          <w:sz w:val="16"/>
          <w:szCs w:val="16"/>
          <w:lang w:eastAsia="pl-PL"/>
        </w:rPr>
        <w:t>y.</w:t>
      </w:r>
      <w:r w:rsidRPr="007751EF">
        <w:rPr>
          <w:rFonts w:ascii="Arial" w:eastAsia="Times New Roman" w:hAnsi="Arial" w:cs="Arial"/>
          <w:lang w:eastAsia="pl-PL"/>
        </w:rPr>
        <w:br/>
      </w:r>
    </w:p>
    <w:sectPr w:rsidR="005D0445" w:rsidRPr="007751E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70DA4B" w14:textId="77777777" w:rsidR="00D61C0B" w:rsidRDefault="00D61C0B">
      <w:pPr>
        <w:spacing w:after="0" w:line="240" w:lineRule="auto"/>
      </w:pPr>
      <w:r>
        <w:separator/>
      </w:r>
    </w:p>
  </w:endnote>
  <w:endnote w:type="continuationSeparator" w:id="0">
    <w:p w14:paraId="6C093D3B" w14:textId="77777777" w:rsidR="00D61C0B" w:rsidRDefault="00D61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A63EC" w14:textId="77777777" w:rsidR="00D61C0B" w:rsidRDefault="00D61C0B">
      <w:pPr>
        <w:spacing w:after="0" w:line="240" w:lineRule="auto"/>
      </w:pPr>
      <w:r>
        <w:separator/>
      </w:r>
    </w:p>
  </w:footnote>
  <w:footnote w:type="continuationSeparator" w:id="0">
    <w:p w14:paraId="4D2A221A" w14:textId="77777777" w:rsidR="00D61C0B" w:rsidRDefault="00D61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87FD8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6314E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53A84"/>
    <w:rsid w:val="0049419F"/>
    <w:rsid w:val="004D2977"/>
    <w:rsid w:val="004D6B75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6E3276"/>
    <w:rsid w:val="0070795D"/>
    <w:rsid w:val="007132F2"/>
    <w:rsid w:val="00723890"/>
    <w:rsid w:val="007245D4"/>
    <w:rsid w:val="0073580B"/>
    <w:rsid w:val="00741490"/>
    <w:rsid w:val="0077455E"/>
    <w:rsid w:val="007751EF"/>
    <w:rsid w:val="007840EA"/>
    <w:rsid w:val="007A27A9"/>
    <w:rsid w:val="007C4329"/>
    <w:rsid w:val="007D5C91"/>
    <w:rsid w:val="007D5CED"/>
    <w:rsid w:val="007E1876"/>
    <w:rsid w:val="0080125B"/>
    <w:rsid w:val="0080440A"/>
    <w:rsid w:val="00866625"/>
    <w:rsid w:val="00871473"/>
    <w:rsid w:val="00883087"/>
    <w:rsid w:val="00886FBF"/>
    <w:rsid w:val="00887146"/>
    <w:rsid w:val="00896AE5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41DFF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1C0B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8661D"/>
    <w:rsid w:val="00EC01D8"/>
    <w:rsid w:val="00EE16A9"/>
    <w:rsid w:val="00EF0489"/>
    <w:rsid w:val="00F00A8F"/>
    <w:rsid w:val="00F46372"/>
    <w:rsid w:val="00F73374"/>
    <w:rsid w:val="00F7465E"/>
    <w:rsid w:val="00FC5323"/>
    <w:rsid w:val="00FC6527"/>
    <w:rsid w:val="00FD2FD1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  <w15:docId w15:val="{410B01B7-5781-4DC1-8719-348393C3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Konto Majkrosoft</cp:lastModifiedBy>
  <cp:revision>3</cp:revision>
  <dcterms:created xsi:type="dcterms:W3CDTF">2021-07-12T19:52:00Z</dcterms:created>
  <dcterms:modified xsi:type="dcterms:W3CDTF">2021-07-12T19:52:00Z</dcterms:modified>
</cp:coreProperties>
</file>