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86A04D" w14:textId="7F5FE9E0" w:rsidR="00931DF9" w:rsidRPr="00093336" w:rsidRDefault="00DF14C1" w:rsidP="00093336">
      <w:pPr>
        <w:pStyle w:val="Bezodstpw"/>
        <w:jc w:val="both"/>
        <w:rPr>
          <w:rFonts w:ascii="Arial" w:hAnsi="Arial" w:cs="Arial"/>
          <w:sz w:val="20"/>
          <w:szCs w:val="20"/>
        </w:rPr>
      </w:pPr>
      <w:bookmarkStart w:id="0" w:name="_Hlk133229676"/>
      <w:r w:rsidRPr="00093336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7728" behindDoc="0" locked="0" layoutInCell="1" allowOverlap="1" wp14:anchorId="61DB51D2" wp14:editId="7C95D94F">
            <wp:simplePos x="0" y="0"/>
            <wp:positionH relativeFrom="column">
              <wp:posOffset>1973580</wp:posOffset>
            </wp:positionH>
            <wp:positionV relativeFrom="paragraph">
              <wp:posOffset>-585470</wp:posOffset>
            </wp:positionV>
            <wp:extent cx="1972310" cy="586740"/>
            <wp:effectExtent l="0" t="0" r="0" b="0"/>
            <wp:wrapNone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2310" cy="58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C06970" w14:textId="77777777" w:rsidR="00931DF9" w:rsidRPr="00093336" w:rsidRDefault="00931DF9" w:rsidP="0009333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099C1C3" w14:textId="366D1278" w:rsidR="00EA27B1" w:rsidRPr="00093336" w:rsidRDefault="00EA27B1" w:rsidP="0009333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093336">
        <w:rPr>
          <w:rFonts w:ascii="Arial" w:hAnsi="Arial" w:cs="Arial"/>
          <w:sz w:val="20"/>
          <w:szCs w:val="20"/>
        </w:rPr>
        <w:t xml:space="preserve">Informacja prasowa: </w:t>
      </w:r>
      <w:r w:rsidR="00486A81">
        <w:rPr>
          <w:rFonts w:ascii="Arial" w:hAnsi="Arial" w:cs="Arial"/>
          <w:sz w:val="20"/>
          <w:szCs w:val="20"/>
        </w:rPr>
        <w:t>03</w:t>
      </w:r>
      <w:r w:rsidR="00F9402F" w:rsidRPr="00093336">
        <w:rPr>
          <w:rFonts w:ascii="Arial" w:hAnsi="Arial" w:cs="Arial"/>
          <w:sz w:val="20"/>
          <w:szCs w:val="20"/>
        </w:rPr>
        <w:t>-</w:t>
      </w:r>
      <w:r w:rsidR="00E37673" w:rsidRPr="00093336">
        <w:rPr>
          <w:rFonts w:ascii="Arial" w:hAnsi="Arial" w:cs="Arial"/>
          <w:sz w:val="20"/>
          <w:szCs w:val="20"/>
        </w:rPr>
        <w:t>02</w:t>
      </w:r>
      <w:r w:rsidR="00F9402F" w:rsidRPr="00093336">
        <w:rPr>
          <w:rFonts w:ascii="Arial" w:hAnsi="Arial" w:cs="Arial"/>
          <w:sz w:val="20"/>
          <w:szCs w:val="20"/>
        </w:rPr>
        <w:t>-2025</w:t>
      </w:r>
      <w:r w:rsidRPr="00093336">
        <w:rPr>
          <w:rFonts w:ascii="Arial" w:hAnsi="Arial" w:cs="Arial"/>
          <w:sz w:val="20"/>
          <w:szCs w:val="20"/>
        </w:rPr>
        <w:t xml:space="preserve">, </w:t>
      </w:r>
      <w:r w:rsidR="004564A2" w:rsidRPr="00093336">
        <w:rPr>
          <w:rFonts w:ascii="Arial" w:hAnsi="Arial" w:cs="Arial"/>
          <w:sz w:val="20"/>
          <w:szCs w:val="20"/>
        </w:rPr>
        <w:t>Warszawa</w:t>
      </w:r>
    </w:p>
    <w:p w14:paraId="75AB01AC" w14:textId="77777777" w:rsidR="0079451E" w:rsidRPr="00093336" w:rsidRDefault="0079451E" w:rsidP="0009333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093336">
        <w:rPr>
          <w:rFonts w:ascii="Arial" w:hAnsi="Arial" w:cs="Arial"/>
          <w:sz w:val="20"/>
          <w:szCs w:val="20"/>
        </w:rPr>
        <w:t xml:space="preserve">Biuro Prasowe </w:t>
      </w:r>
      <w:r w:rsidR="004564A2" w:rsidRPr="00093336">
        <w:rPr>
          <w:rFonts w:ascii="Arial" w:hAnsi="Arial" w:cs="Arial"/>
          <w:sz w:val="20"/>
          <w:szCs w:val="20"/>
        </w:rPr>
        <w:t>Greenman Poland</w:t>
      </w:r>
    </w:p>
    <w:p w14:paraId="3C6C074A" w14:textId="77777777" w:rsidR="0079451E" w:rsidRPr="00093336" w:rsidRDefault="0079451E" w:rsidP="0009333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093336">
        <w:rPr>
          <w:rFonts w:ascii="Arial" w:hAnsi="Arial" w:cs="Arial"/>
          <w:sz w:val="20"/>
          <w:szCs w:val="20"/>
        </w:rPr>
        <w:t>Tomasz Pietrzak/Guarana PR</w:t>
      </w:r>
    </w:p>
    <w:p w14:paraId="176079A0" w14:textId="77777777" w:rsidR="0079451E" w:rsidRPr="00093336" w:rsidRDefault="0079451E" w:rsidP="0009333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093336">
        <w:rPr>
          <w:rFonts w:ascii="Arial" w:hAnsi="Arial" w:cs="Arial"/>
          <w:sz w:val="20"/>
          <w:szCs w:val="20"/>
        </w:rPr>
        <w:t xml:space="preserve">tel. 509 106 256 mail. </w:t>
      </w:r>
      <w:r w:rsidR="00931DF9" w:rsidRPr="00093336">
        <w:rPr>
          <w:rFonts w:ascii="Arial" w:hAnsi="Arial" w:cs="Arial"/>
          <w:sz w:val="20"/>
          <w:szCs w:val="20"/>
        </w:rPr>
        <w:t>t</w:t>
      </w:r>
      <w:r w:rsidR="004B46C7" w:rsidRPr="00093336">
        <w:rPr>
          <w:rFonts w:ascii="Arial" w:hAnsi="Arial" w:cs="Arial"/>
          <w:sz w:val="20"/>
          <w:szCs w:val="20"/>
        </w:rPr>
        <w:t>omasz.pietrzak[at]guaranapr.pl</w:t>
      </w:r>
    </w:p>
    <w:p w14:paraId="320D3321" w14:textId="77777777" w:rsidR="00895A74" w:rsidRPr="00093336" w:rsidRDefault="00895A74" w:rsidP="0009333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39E5919" w14:textId="77777777" w:rsidR="002A0B13" w:rsidRDefault="002A0B13" w:rsidP="002A0B13">
      <w:pPr>
        <w:pStyle w:val="Bezodstpw"/>
        <w:rPr>
          <w:rFonts w:ascii="Arial" w:hAnsi="Arial" w:cs="Arial"/>
          <w:sz w:val="20"/>
          <w:szCs w:val="20"/>
        </w:rPr>
      </w:pPr>
    </w:p>
    <w:p w14:paraId="3CCCE322" w14:textId="77777777" w:rsidR="002A0B13" w:rsidRPr="002A0B13" w:rsidRDefault="002A0B13" w:rsidP="002A0B13">
      <w:pPr>
        <w:pStyle w:val="Bezodstpw"/>
        <w:jc w:val="center"/>
        <w:rPr>
          <w:rFonts w:ascii="Arial" w:hAnsi="Arial" w:cs="Arial"/>
          <w:b/>
          <w:bCs/>
          <w:sz w:val="26"/>
          <w:szCs w:val="26"/>
        </w:rPr>
      </w:pPr>
      <w:r w:rsidRPr="002A0B13">
        <w:rPr>
          <w:rFonts w:ascii="Arial" w:hAnsi="Arial" w:cs="Arial"/>
          <w:b/>
          <w:bCs/>
          <w:sz w:val="26"/>
          <w:szCs w:val="26"/>
        </w:rPr>
        <w:t>[Komentarz] Convenience przyciąga modę</w:t>
      </w:r>
    </w:p>
    <w:p w14:paraId="1B325B08" w14:textId="77777777" w:rsidR="002A0B13" w:rsidRDefault="002A0B13" w:rsidP="002A0B13">
      <w:pPr>
        <w:pStyle w:val="Bezodstpw"/>
        <w:rPr>
          <w:rFonts w:ascii="Arial" w:hAnsi="Arial" w:cs="Arial"/>
          <w:sz w:val="20"/>
          <w:szCs w:val="20"/>
        </w:rPr>
      </w:pPr>
    </w:p>
    <w:p w14:paraId="75DB06EA" w14:textId="77777777" w:rsidR="002A0B13" w:rsidRDefault="002A0B13" w:rsidP="002A0B13">
      <w:pPr>
        <w:pStyle w:val="Bezodstpw"/>
        <w:rPr>
          <w:rFonts w:ascii="Arial" w:hAnsi="Arial" w:cs="Arial"/>
          <w:sz w:val="20"/>
          <w:szCs w:val="20"/>
        </w:rPr>
      </w:pPr>
    </w:p>
    <w:p w14:paraId="6EA52402" w14:textId="5CACD383" w:rsidR="002A0B13" w:rsidRPr="00376681" w:rsidRDefault="00AD2CAA" w:rsidP="002A0B13">
      <w:pPr>
        <w:pStyle w:val="Bezodstpw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Już nie tylko sklepy spożywcze, z elektronik</w:t>
      </w:r>
      <w:r w:rsidR="00F61C1D">
        <w:rPr>
          <w:rFonts w:ascii="Arial" w:hAnsi="Arial" w:cs="Arial"/>
          <w:b/>
          <w:bCs/>
          <w:sz w:val="24"/>
          <w:szCs w:val="24"/>
        </w:rPr>
        <w:t>ą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C13111">
        <w:rPr>
          <w:rFonts w:ascii="Arial" w:hAnsi="Arial" w:cs="Arial"/>
          <w:b/>
          <w:bCs/>
          <w:sz w:val="24"/>
          <w:szCs w:val="24"/>
        </w:rPr>
        <w:t>czy punkty usługowe</w:t>
      </w:r>
      <w:r>
        <w:rPr>
          <w:rFonts w:ascii="Arial" w:hAnsi="Arial" w:cs="Arial"/>
          <w:b/>
          <w:bCs/>
          <w:sz w:val="24"/>
          <w:szCs w:val="24"/>
        </w:rPr>
        <w:t>. Rośnie udział marek modowych w tenant-mixach centrów convenience i parków handlowych.</w:t>
      </w:r>
    </w:p>
    <w:p w14:paraId="50635B3C" w14:textId="77777777" w:rsidR="002A0B13" w:rsidRDefault="002A0B13" w:rsidP="002A0B1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EAFE60A" w14:textId="77777777" w:rsidR="002A0B13" w:rsidRDefault="002A0B13" w:rsidP="002A0B1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D2D7B51" w14:textId="582EA59D" w:rsidR="00AD2CAA" w:rsidRDefault="002A0B13" w:rsidP="00CE15F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9210A">
        <w:rPr>
          <w:rFonts w:ascii="Arial" w:hAnsi="Arial" w:cs="Arial"/>
          <w:sz w:val="20"/>
          <w:szCs w:val="20"/>
        </w:rPr>
        <w:t xml:space="preserve">Sektor convenience w Polsce rozwija się. Na rynku działa już 260 </w:t>
      </w:r>
      <w:r w:rsidR="00486A81">
        <w:rPr>
          <w:rFonts w:ascii="Arial" w:hAnsi="Arial" w:cs="Arial"/>
          <w:sz w:val="20"/>
          <w:szCs w:val="20"/>
        </w:rPr>
        <w:t>retail parków</w:t>
      </w:r>
      <w:r w:rsidRPr="00A9210A">
        <w:rPr>
          <w:rFonts w:ascii="Arial" w:hAnsi="Arial" w:cs="Arial"/>
          <w:sz w:val="20"/>
          <w:szCs w:val="20"/>
        </w:rPr>
        <w:t>, które mają ponad 5 tys. m kw. Tylko na przestrzeni ostatnich 4 lat udział tego formatu w rynku podwoił się i wynosi dziś 18</w:t>
      </w:r>
      <w:r>
        <w:rPr>
          <w:rFonts w:ascii="Arial" w:hAnsi="Arial" w:cs="Arial"/>
          <w:sz w:val="20"/>
          <w:szCs w:val="20"/>
        </w:rPr>
        <w:t xml:space="preserve"> proc.</w:t>
      </w:r>
      <w:r w:rsidRPr="00A9210A">
        <w:rPr>
          <w:rFonts w:ascii="Arial" w:hAnsi="Arial" w:cs="Arial"/>
          <w:sz w:val="20"/>
          <w:szCs w:val="20"/>
        </w:rPr>
        <w:t xml:space="preserve"> – czytamy w raporcie </w:t>
      </w:r>
      <w:r w:rsidRPr="00A9210A">
        <w:rPr>
          <w:rFonts w:ascii="Arial" w:hAnsi="Arial" w:cs="Arial"/>
          <w:i/>
          <w:iCs/>
          <w:sz w:val="20"/>
          <w:szCs w:val="20"/>
        </w:rPr>
        <w:t>Investing in Safe Havens</w:t>
      </w:r>
      <w:r w:rsidRPr="00A9210A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  <w:r w:rsidR="00607939">
        <w:rPr>
          <w:rFonts w:ascii="Arial" w:hAnsi="Arial" w:cs="Arial"/>
          <w:sz w:val="20"/>
          <w:szCs w:val="20"/>
        </w:rPr>
        <w:t xml:space="preserve"> </w:t>
      </w:r>
      <w:r w:rsidRPr="00A9210A">
        <w:rPr>
          <w:rFonts w:ascii="Arial" w:hAnsi="Arial" w:cs="Arial"/>
          <w:sz w:val="20"/>
          <w:szCs w:val="20"/>
        </w:rPr>
        <w:t xml:space="preserve">W efekcie już </w:t>
      </w:r>
      <w:r w:rsidR="008A15D3">
        <w:rPr>
          <w:rFonts w:ascii="Arial" w:hAnsi="Arial" w:cs="Arial"/>
          <w:sz w:val="20"/>
          <w:szCs w:val="20"/>
        </w:rPr>
        <w:t xml:space="preserve">niemal </w:t>
      </w:r>
      <w:r w:rsidRPr="00A9210A">
        <w:rPr>
          <w:rFonts w:ascii="Arial" w:hAnsi="Arial" w:cs="Arial"/>
          <w:sz w:val="20"/>
          <w:szCs w:val="20"/>
        </w:rPr>
        <w:t>50</w:t>
      </w:r>
      <w:r>
        <w:rPr>
          <w:rFonts w:ascii="Arial" w:hAnsi="Arial" w:cs="Arial"/>
          <w:sz w:val="20"/>
          <w:szCs w:val="20"/>
        </w:rPr>
        <w:t xml:space="preserve"> proc.</w:t>
      </w:r>
      <w:r w:rsidRPr="00A9210A">
        <w:rPr>
          <w:rFonts w:ascii="Arial" w:hAnsi="Arial" w:cs="Arial"/>
          <w:sz w:val="20"/>
          <w:szCs w:val="20"/>
        </w:rPr>
        <w:t xml:space="preserve"> Polaków ma w 15-minutowym zasięgu </w:t>
      </w:r>
      <w:r w:rsidR="00CE15FE">
        <w:rPr>
          <w:rFonts w:ascii="Arial" w:hAnsi="Arial" w:cs="Arial"/>
          <w:sz w:val="20"/>
          <w:szCs w:val="20"/>
        </w:rPr>
        <w:t>obiekt typu</w:t>
      </w:r>
      <w:r w:rsidRPr="00A9210A">
        <w:rPr>
          <w:rFonts w:ascii="Arial" w:hAnsi="Arial" w:cs="Arial"/>
          <w:sz w:val="20"/>
          <w:szCs w:val="20"/>
        </w:rPr>
        <w:t xml:space="preserve"> convenience. Ten odsetek może wzrosnąć, tym bardziej, że kolejne </w:t>
      </w:r>
      <w:r w:rsidR="00CE15FE">
        <w:rPr>
          <w:rFonts w:ascii="Arial" w:hAnsi="Arial" w:cs="Arial"/>
          <w:sz w:val="20"/>
          <w:szCs w:val="20"/>
        </w:rPr>
        <w:t>inwestycje są w realizacji</w:t>
      </w:r>
      <w:r w:rsidRPr="00A9210A">
        <w:rPr>
          <w:rFonts w:ascii="Arial" w:hAnsi="Arial" w:cs="Arial"/>
          <w:sz w:val="20"/>
          <w:szCs w:val="20"/>
        </w:rPr>
        <w:t xml:space="preserve">. </w:t>
      </w:r>
    </w:p>
    <w:p w14:paraId="0AE716C0" w14:textId="77777777" w:rsidR="00AD2CAA" w:rsidRDefault="00AD2CAA" w:rsidP="00AD2CAA">
      <w:pPr>
        <w:pStyle w:val="Bezodstpw"/>
        <w:rPr>
          <w:rFonts w:ascii="Arial" w:hAnsi="Arial" w:cs="Arial"/>
          <w:sz w:val="20"/>
          <w:szCs w:val="20"/>
        </w:rPr>
      </w:pPr>
    </w:p>
    <w:p w14:paraId="043043F0" w14:textId="277BCF75" w:rsidR="00AD2CAA" w:rsidRPr="00A9210A" w:rsidRDefault="00AD2CAA" w:rsidP="00AD2CAA">
      <w:pPr>
        <w:pStyle w:val="Bezodstpw"/>
        <w:rPr>
          <w:rFonts w:ascii="Arial" w:hAnsi="Arial" w:cs="Arial"/>
          <w:sz w:val="20"/>
          <w:szCs w:val="20"/>
        </w:rPr>
      </w:pPr>
      <w:r w:rsidRPr="00A9210A">
        <w:rPr>
          <w:rFonts w:ascii="Arial" w:hAnsi="Arial" w:cs="Arial"/>
          <w:sz w:val="20"/>
          <w:szCs w:val="20"/>
        </w:rPr>
        <w:t>Skala oraz dynamika tego rozwoju zwraca uwagę krajowych i zagranicznych marek modowych, w tym dużych sieci odzieżowych</w:t>
      </w:r>
      <w:r>
        <w:rPr>
          <w:rFonts w:ascii="Arial" w:hAnsi="Arial" w:cs="Arial"/>
          <w:sz w:val="20"/>
          <w:szCs w:val="20"/>
        </w:rPr>
        <w:t xml:space="preserve">, brandów z sektora mody ekonomicznej i </w:t>
      </w:r>
      <w:r w:rsidRPr="00AD2CAA">
        <w:rPr>
          <w:rFonts w:ascii="Arial" w:hAnsi="Arial" w:cs="Arial"/>
          <w:i/>
          <w:iCs/>
          <w:sz w:val="20"/>
          <w:szCs w:val="20"/>
        </w:rPr>
        <w:t>off-price</w:t>
      </w:r>
      <w:r>
        <w:rPr>
          <w:rFonts w:ascii="Arial" w:hAnsi="Arial" w:cs="Arial"/>
          <w:sz w:val="20"/>
          <w:szCs w:val="20"/>
        </w:rPr>
        <w:t xml:space="preserve"> czy marek oferujących akcesoria</w:t>
      </w:r>
      <w:r w:rsidRPr="00A9210A">
        <w:rPr>
          <w:rFonts w:ascii="Arial" w:hAnsi="Arial" w:cs="Arial"/>
          <w:sz w:val="20"/>
          <w:szCs w:val="20"/>
        </w:rPr>
        <w:t xml:space="preserve">. W efekcie </w:t>
      </w:r>
      <w:r>
        <w:rPr>
          <w:rFonts w:ascii="Arial" w:hAnsi="Arial" w:cs="Arial"/>
          <w:sz w:val="20"/>
          <w:szCs w:val="20"/>
        </w:rPr>
        <w:t xml:space="preserve">systematycznie </w:t>
      </w:r>
      <w:r w:rsidRPr="00A9210A">
        <w:rPr>
          <w:rFonts w:ascii="Arial" w:hAnsi="Arial" w:cs="Arial"/>
          <w:sz w:val="20"/>
          <w:szCs w:val="20"/>
        </w:rPr>
        <w:t>rośnie ich udział w tenant-</w:t>
      </w:r>
      <w:r>
        <w:rPr>
          <w:rFonts w:ascii="Arial" w:hAnsi="Arial" w:cs="Arial"/>
          <w:sz w:val="20"/>
          <w:szCs w:val="20"/>
        </w:rPr>
        <w:t>mixach</w:t>
      </w:r>
      <w:r w:rsidRPr="00A9210A">
        <w:rPr>
          <w:rFonts w:ascii="Arial" w:hAnsi="Arial" w:cs="Arial"/>
          <w:sz w:val="20"/>
          <w:szCs w:val="20"/>
        </w:rPr>
        <w:t xml:space="preserve"> zarówno centrów i hubów convenience, jak również parków handlowych.</w:t>
      </w:r>
    </w:p>
    <w:p w14:paraId="646DFCED" w14:textId="4AAAF5AD" w:rsidR="002A0B13" w:rsidRPr="00A9210A" w:rsidRDefault="002A0B13" w:rsidP="002A0B1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A555676" w14:textId="5E2CA5B1" w:rsidR="002A0B13" w:rsidRPr="00607939" w:rsidRDefault="002A0B13" w:rsidP="002A0B13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A9210A">
        <w:rPr>
          <w:rFonts w:ascii="Arial" w:hAnsi="Arial" w:cs="Arial"/>
          <w:sz w:val="20"/>
          <w:szCs w:val="20"/>
        </w:rPr>
        <w:t>–</w:t>
      </w:r>
      <w:r>
        <w:rPr>
          <w:rFonts w:ascii="Arial" w:hAnsi="Arial" w:cs="Arial"/>
          <w:sz w:val="20"/>
          <w:szCs w:val="20"/>
        </w:rPr>
        <w:t xml:space="preserve"> R</w:t>
      </w:r>
      <w:r w:rsidRPr="00A9210A">
        <w:rPr>
          <w:rFonts w:ascii="Arial" w:hAnsi="Arial" w:cs="Arial"/>
          <w:sz w:val="20"/>
          <w:szCs w:val="20"/>
        </w:rPr>
        <w:t>ozwój segmentu convenience oraz rosnąca</w:t>
      </w:r>
      <w:r>
        <w:rPr>
          <w:rFonts w:ascii="Arial" w:hAnsi="Arial" w:cs="Arial"/>
          <w:sz w:val="20"/>
          <w:szCs w:val="20"/>
        </w:rPr>
        <w:t xml:space="preserve"> wśród klientów</w:t>
      </w:r>
      <w:r w:rsidRPr="00A9210A">
        <w:rPr>
          <w:rFonts w:ascii="Arial" w:hAnsi="Arial" w:cs="Arial"/>
          <w:sz w:val="20"/>
          <w:szCs w:val="20"/>
        </w:rPr>
        <w:t xml:space="preserve"> popularność retail parków sprawiają, że coraz więcej marek modowych dostrzega potencjał tych lokalizacji. W efekcie centra convenience czy retail parki coraz </w:t>
      </w:r>
      <w:r>
        <w:rPr>
          <w:rFonts w:ascii="Arial" w:hAnsi="Arial" w:cs="Arial"/>
          <w:sz w:val="20"/>
          <w:szCs w:val="20"/>
        </w:rPr>
        <w:t>częściej zajmują ważną pozycję w strategiach ekspansji na polskim rynku.</w:t>
      </w:r>
      <w:r w:rsidRPr="00A9210A">
        <w:rPr>
          <w:rFonts w:ascii="Arial" w:hAnsi="Arial" w:cs="Arial"/>
          <w:sz w:val="20"/>
          <w:szCs w:val="20"/>
        </w:rPr>
        <w:t xml:space="preserve"> Powodów jest kilka – </w:t>
      </w:r>
      <w:r w:rsidRPr="00376681">
        <w:rPr>
          <w:rFonts w:ascii="Arial" w:hAnsi="Arial" w:cs="Arial"/>
          <w:b/>
          <w:bCs/>
          <w:sz w:val="20"/>
          <w:szCs w:val="20"/>
        </w:rPr>
        <w:t>mówi Karolina Nitowska, Leasing Director w Greenman Poland.</w:t>
      </w:r>
      <w:r w:rsidR="00607939">
        <w:rPr>
          <w:rFonts w:ascii="Arial" w:hAnsi="Arial" w:cs="Arial"/>
          <w:b/>
          <w:bCs/>
          <w:sz w:val="20"/>
          <w:szCs w:val="20"/>
        </w:rPr>
        <w:t xml:space="preserve"> </w:t>
      </w:r>
      <w:r w:rsidRPr="00A9210A">
        <w:rPr>
          <w:rFonts w:ascii="Arial" w:hAnsi="Arial" w:cs="Arial"/>
          <w:sz w:val="20"/>
          <w:szCs w:val="20"/>
        </w:rPr>
        <w:t xml:space="preserve">– Sektor convenience wyróżnia się wysoką odwiedzalnością i stabilnym footfallem, co jest zasługą komplementarnej oferty. To czyni go mniej ryzykownym kanałem ekspansji. Istotnym atutem jest też dostęp do nienasyconych i strategicznie ważnych rynków lokalnych, </w:t>
      </w:r>
      <w:r>
        <w:rPr>
          <w:rFonts w:ascii="Arial" w:hAnsi="Arial" w:cs="Arial"/>
          <w:sz w:val="20"/>
          <w:szCs w:val="20"/>
        </w:rPr>
        <w:t>które marki mogą skutecznie penetrować. Ponadto</w:t>
      </w:r>
      <w:r w:rsidRPr="00A9210A">
        <w:rPr>
          <w:rFonts w:ascii="Arial" w:hAnsi="Arial" w:cs="Arial"/>
          <w:sz w:val="20"/>
          <w:szCs w:val="20"/>
        </w:rPr>
        <w:t xml:space="preserve"> najem w tego typu obiektach pozwala na optymalizację kosztów operacyjnych, co ma kluczowe znaczenie np. dla marek, które testują nowe koncepty – dodaje.</w:t>
      </w:r>
    </w:p>
    <w:p w14:paraId="16E2D4A5" w14:textId="77777777" w:rsidR="002A0B13" w:rsidRPr="00A9210A" w:rsidRDefault="002A0B13" w:rsidP="002A0B1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7048760" w14:textId="2DF26825" w:rsidR="002A0B13" w:rsidRPr="00A9210A" w:rsidRDefault="002A0B13" w:rsidP="002A0B1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9210A">
        <w:rPr>
          <w:rFonts w:ascii="Arial" w:hAnsi="Arial" w:cs="Arial"/>
          <w:sz w:val="20"/>
          <w:szCs w:val="20"/>
        </w:rPr>
        <w:t xml:space="preserve">To jednak nie jedyne argumenty, które sprawiają, że </w:t>
      </w:r>
      <w:r>
        <w:rPr>
          <w:rFonts w:ascii="Arial" w:hAnsi="Arial" w:cs="Arial"/>
          <w:sz w:val="20"/>
          <w:szCs w:val="20"/>
        </w:rPr>
        <w:t>brandy</w:t>
      </w:r>
      <w:r w:rsidRPr="00A9210A">
        <w:rPr>
          <w:rFonts w:ascii="Arial" w:hAnsi="Arial" w:cs="Arial"/>
          <w:sz w:val="20"/>
          <w:szCs w:val="20"/>
        </w:rPr>
        <w:t xml:space="preserve"> modowe skłaniają się ku convenience. – Istotne są także zmieniające się nawyki zakupowe konsumentów. Rośnie liczba klientów, którzy wybierają w pierwszej kolejności zakupy w mniejszych centrach</w:t>
      </w:r>
      <w:r>
        <w:rPr>
          <w:rFonts w:ascii="Arial" w:hAnsi="Arial" w:cs="Arial"/>
          <w:sz w:val="20"/>
          <w:szCs w:val="20"/>
        </w:rPr>
        <w:t xml:space="preserve"> i bliżej domu</w:t>
      </w:r>
      <w:r w:rsidRPr="00A9210A">
        <w:rPr>
          <w:rFonts w:ascii="Arial" w:hAnsi="Arial" w:cs="Arial"/>
          <w:sz w:val="20"/>
          <w:szCs w:val="20"/>
        </w:rPr>
        <w:t>, skłaniając się ku oszczędności czasu i wygodzie. Wiel</w:t>
      </w:r>
      <w:r w:rsidR="00CE15FE">
        <w:rPr>
          <w:rFonts w:ascii="Arial" w:hAnsi="Arial" w:cs="Arial"/>
          <w:sz w:val="20"/>
          <w:szCs w:val="20"/>
        </w:rPr>
        <w:t xml:space="preserve">u najemców fashion </w:t>
      </w:r>
      <w:r>
        <w:rPr>
          <w:rFonts w:ascii="Arial" w:hAnsi="Arial" w:cs="Arial"/>
          <w:sz w:val="20"/>
          <w:szCs w:val="20"/>
        </w:rPr>
        <w:t>nie pozostaje dziś obojętne na to zjawisko</w:t>
      </w:r>
      <w:r w:rsidRPr="00A9210A">
        <w:rPr>
          <w:rFonts w:ascii="Arial" w:hAnsi="Arial" w:cs="Arial"/>
          <w:sz w:val="20"/>
          <w:szCs w:val="20"/>
        </w:rPr>
        <w:t xml:space="preserve"> i podąża za potrzebami klienta – dodaje.</w:t>
      </w:r>
    </w:p>
    <w:p w14:paraId="23CA21A7" w14:textId="77777777" w:rsidR="002A0B13" w:rsidRPr="00A9210A" w:rsidRDefault="002A0B13" w:rsidP="002A0B1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58D732C" w14:textId="4A40B3FC" w:rsidR="002A0B13" w:rsidRPr="00A9210A" w:rsidRDefault="002A0B13" w:rsidP="002A0B13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</w:t>
      </w:r>
      <w:r w:rsidRPr="00A9210A">
        <w:rPr>
          <w:rFonts w:ascii="Arial" w:hAnsi="Arial" w:cs="Arial"/>
          <w:sz w:val="20"/>
          <w:szCs w:val="20"/>
        </w:rPr>
        <w:t>rend</w:t>
      </w:r>
      <w:r>
        <w:rPr>
          <w:rFonts w:ascii="Arial" w:hAnsi="Arial" w:cs="Arial"/>
          <w:sz w:val="20"/>
          <w:szCs w:val="20"/>
        </w:rPr>
        <w:t xml:space="preserve"> </w:t>
      </w:r>
      <w:r w:rsidRPr="00A9210A">
        <w:rPr>
          <w:rFonts w:ascii="Arial" w:hAnsi="Arial" w:cs="Arial"/>
          <w:sz w:val="20"/>
          <w:szCs w:val="20"/>
        </w:rPr>
        <w:t>zyskuje na sile</w:t>
      </w:r>
      <w:r>
        <w:rPr>
          <w:rFonts w:ascii="Arial" w:hAnsi="Arial" w:cs="Arial"/>
          <w:sz w:val="20"/>
          <w:szCs w:val="20"/>
        </w:rPr>
        <w:t>, szczególnie w ostatnich 2-3 latach</w:t>
      </w:r>
      <w:r w:rsidRPr="00A9210A">
        <w:rPr>
          <w:rFonts w:ascii="Arial" w:hAnsi="Arial" w:cs="Arial"/>
          <w:sz w:val="20"/>
          <w:szCs w:val="20"/>
        </w:rPr>
        <w:t>. Doskonałym tego przykładem są centra handlowe Nowe Czyżyn</w:t>
      </w:r>
      <w:r w:rsidR="00C13111">
        <w:rPr>
          <w:rFonts w:ascii="Arial" w:hAnsi="Arial" w:cs="Arial"/>
          <w:sz w:val="20"/>
          <w:szCs w:val="20"/>
        </w:rPr>
        <w:t>y i</w:t>
      </w:r>
      <w:r w:rsidRPr="00A9210A">
        <w:rPr>
          <w:rFonts w:ascii="Arial" w:hAnsi="Arial" w:cs="Arial"/>
          <w:sz w:val="20"/>
          <w:szCs w:val="20"/>
        </w:rPr>
        <w:t xml:space="preserve"> Nowe Bielawy z portfolio Greenman Poland, gdzie udział marek </w:t>
      </w:r>
      <w:r w:rsidR="00C13111">
        <w:rPr>
          <w:rFonts w:ascii="Arial" w:hAnsi="Arial" w:cs="Arial"/>
          <w:sz w:val="20"/>
          <w:szCs w:val="20"/>
        </w:rPr>
        <w:t>fashion</w:t>
      </w:r>
      <w:r w:rsidR="00C13111" w:rsidRPr="00A9210A">
        <w:rPr>
          <w:rFonts w:ascii="Arial" w:hAnsi="Arial" w:cs="Arial"/>
          <w:sz w:val="20"/>
          <w:szCs w:val="20"/>
        </w:rPr>
        <w:t xml:space="preserve"> </w:t>
      </w:r>
      <w:r w:rsidRPr="00A9210A">
        <w:rPr>
          <w:rFonts w:ascii="Arial" w:hAnsi="Arial" w:cs="Arial"/>
          <w:sz w:val="20"/>
          <w:szCs w:val="20"/>
        </w:rPr>
        <w:t>w ofercie znacząco wzrósł.</w:t>
      </w:r>
      <w:r w:rsidR="00607939">
        <w:rPr>
          <w:rFonts w:ascii="Arial" w:hAnsi="Arial" w:cs="Arial"/>
          <w:sz w:val="20"/>
          <w:szCs w:val="20"/>
        </w:rPr>
        <w:t xml:space="preserve"> </w:t>
      </w:r>
      <w:r w:rsidRPr="00A9210A">
        <w:rPr>
          <w:rFonts w:ascii="Arial" w:hAnsi="Arial" w:cs="Arial"/>
          <w:sz w:val="20"/>
          <w:szCs w:val="20"/>
        </w:rPr>
        <w:t xml:space="preserve">–  </w:t>
      </w:r>
      <w:r w:rsidR="00C13111">
        <w:rPr>
          <w:rFonts w:ascii="Arial" w:hAnsi="Arial" w:cs="Arial"/>
          <w:sz w:val="20"/>
          <w:szCs w:val="20"/>
        </w:rPr>
        <w:t>Brandy modowe, oferujące ubrania, buty lub dodatki, zajmują coraz więcej miejsca w tenant-mixie naszch centrów</w:t>
      </w:r>
      <w:r w:rsidRPr="00A9210A">
        <w:rPr>
          <w:rFonts w:ascii="Arial" w:hAnsi="Arial" w:cs="Arial"/>
          <w:sz w:val="20"/>
          <w:szCs w:val="20"/>
        </w:rPr>
        <w:t xml:space="preserve">. Segment mody należy </w:t>
      </w:r>
      <w:r w:rsidR="00C13111">
        <w:rPr>
          <w:rFonts w:ascii="Arial" w:hAnsi="Arial" w:cs="Arial"/>
          <w:sz w:val="20"/>
          <w:szCs w:val="20"/>
        </w:rPr>
        <w:t>też</w:t>
      </w:r>
      <w:r w:rsidR="00C13111" w:rsidRPr="00A9210A">
        <w:rPr>
          <w:rFonts w:ascii="Arial" w:hAnsi="Arial" w:cs="Arial"/>
          <w:sz w:val="20"/>
          <w:szCs w:val="20"/>
        </w:rPr>
        <w:t xml:space="preserve"> </w:t>
      </w:r>
      <w:r w:rsidRPr="00A9210A">
        <w:rPr>
          <w:rFonts w:ascii="Arial" w:hAnsi="Arial" w:cs="Arial"/>
          <w:sz w:val="20"/>
          <w:szCs w:val="20"/>
        </w:rPr>
        <w:t xml:space="preserve">do najdynamiczniej rozwijających się, w którym notujemy najwięcej debiutów. W efekcie odwiedzający </w:t>
      </w:r>
      <w:r>
        <w:rPr>
          <w:rFonts w:ascii="Arial" w:hAnsi="Arial" w:cs="Arial"/>
          <w:sz w:val="20"/>
          <w:szCs w:val="20"/>
        </w:rPr>
        <w:t>zyskują</w:t>
      </w:r>
      <w:r w:rsidRPr="00A9210A">
        <w:rPr>
          <w:rFonts w:ascii="Arial" w:hAnsi="Arial" w:cs="Arial"/>
          <w:sz w:val="20"/>
          <w:szCs w:val="20"/>
        </w:rPr>
        <w:t xml:space="preserve"> dostęp </w:t>
      </w:r>
      <w:r w:rsidR="00C13111">
        <w:rPr>
          <w:rFonts w:ascii="Arial" w:hAnsi="Arial" w:cs="Arial"/>
          <w:sz w:val="20"/>
          <w:szCs w:val="20"/>
        </w:rPr>
        <w:t>do coraz szerszej oferty</w:t>
      </w:r>
      <w:r w:rsidRPr="00A9210A">
        <w:rPr>
          <w:rFonts w:ascii="Arial" w:hAnsi="Arial" w:cs="Arial"/>
          <w:sz w:val="20"/>
          <w:szCs w:val="20"/>
        </w:rPr>
        <w:t xml:space="preserve"> marek i sieci modowych, </w:t>
      </w:r>
      <w:r w:rsidR="00C13111">
        <w:rPr>
          <w:rFonts w:ascii="Arial" w:hAnsi="Arial" w:cs="Arial"/>
          <w:sz w:val="20"/>
          <w:szCs w:val="20"/>
        </w:rPr>
        <w:t xml:space="preserve">które dotąd obecne były prawie wyłącznie w dużych galeriach handlowych </w:t>
      </w:r>
      <w:r w:rsidR="00C13111" w:rsidRPr="00A9210A">
        <w:rPr>
          <w:rFonts w:ascii="Arial" w:hAnsi="Arial" w:cs="Arial"/>
          <w:sz w:val="20"/>
          <w:szCs w:val="20"/>
        </w:rPr>
        <w:t>–</w:t>
      </w:r>
      <w:r w:rsidRPr="00A9210A">
        <w:rPr>
          <w:rFonts w:ascii="Arial" w:hAnsi="Arial" w:cs="Arial"/>
          <w:sz w:val="20"/>
          <w:szCs w:val="20"/>
        </w:rPr>
        <w:t xml:space="preserve"> mówi Karolina Nitowska.</w:t>
      </w:r>
    </w:p>
    <w:p w14:paraId="0E881CA7" w14:textId="77777777" w:rsidR="002A0B13" w:rsidRPr="00A9210A" w:rsidRDefault="002A0B13" w:rsidP="002A0B1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6BFF8F4" w14:textId="7518217B" w:rsidR="002A0B13" w:rsidRPr="00A9210A" w:rsidRDefault="002A0B13" w:rsidP="002A0B1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9210A">
        <w:rPr>
          <w:rFonts w:ascii="Arial" w:hAnsi="Arial" w:cs="Arial"/>
          <w:sz w:val="20"/>
          <w:szCs w:val="20"/>
        </w:rPr>
        <w:t xml:space="preserve">Widać to chociażby w Nowych Czyżynach w Krakowie, gdzie obecne są takie marki jak np. </w:t>
      </w:r>
      <w:r w:rsidRPr="00C13111">
        <w:rPr>
          <w:rFonts w:ascii="Arial" w:hAnsi="Arial" w:cs="Arial"/>
          <w:sz w:val="20"/>
          <w:szCs w:val="20"/>
          <w:lang w:val="en-US"/>
        </w:rPr>
        <w:t xml:space="preserve">CCC, Tatuum, 4F, 50Style, Big Star, Pawo, </w:t>
      </w:r>
      <w:r w:rsidR="00F61C1D">
        <w:rPr>
          <w:rFonts w:ascii="Arial" w:hAnsi="Arial" w:cs="Arial"/>
          <w:sz w:val="20"/>
          <w:szCs w:val="20"/>
          <w:lang w:val="en-US"/>
        </w:rPr>
        <w:t xml:space="preserve">Triumph, </w:t>
      </w:r>
      <w:r w:rsidRPr="00C13111">
        <w:rPr>
          <w:rFonts w:ascii="Arial" w:hAnsi="Arial" w:cs="Arial"/>
          <w:sz w:val="20"/>
          <w:szCs w:val="20"/>
          <w:lang w:val="en-US"/>
        </w:rPr>
        <w:t xml:space="preserve">Diverse czy Greenpoint. </w:t>
      </w:r>
      <w:r w:rsidRPr="00A9210A">
        <w:rPr>
          <w:rFonts w:ascii="Arial" w:hAnsi="Arial" w:cs="Arial"/>
          <w:sz w:val="20"/>
          <w:szCs w:val="20"/>
        </w:rPr>
        <w:t>Podobnie jest w Nowych Bielawach w Toruniu, gdzie klienci mają dostęp do takich brandów jak: Sinsay, CCC, Ryłko, Quiosque, Tatuum, Wojas, Monnari, Esotiq, Change Lingerie,</w:t>
      </w:r>
      <w:r w:rsidR="00F61C1D">
        <w:rPr>
          <w:rFonts w:ascii="Arial" w:hAnsi="Arial" w:cs="Arial"/>
          <w:sz w:val="20"/>
          <w:szCs w:val="20"/>
        </w:rPr>
        <w:t xml:space="preserve"> Bialcon,</w:t>
      </w:r>
      <w:r w:rsidRPr="00A9210A">
        <w:rPr>
          <w:rFonts w:ascii="Arial" w:hAnsi="Arial" w:cs="Arial"/>
          <w:sz w:val="20"/>
          <w:szCs w:val="20"/>
        </w:rPr>
        <w:t xml:space="preserve"> Carry, a od lutego </w:t>
      </w:r>
      <w:r>
        <w:rPr>
          <w:rFonts w:ascii="Arial" w:hAnsi="Arial" w:cs="Arial"/>
          <w:sz w:val="20"/>
          <w:szCs w:val="20"/>
        </w:rPr>
        <w:t xml:space="preserve">tego roku </w:t>
      </w:r>
      <w:r w:rsidRPr="00A9210A">
        <w:rPr>
          <w:rFonts w:ascii="Arial" w:hAnsi="Arial" w:cs="Arial"/>
          <w:sz w:val="20"/>
          <w:szCs w:val="20"/>
        </w:rPr>
        <w:t>także Kubenz.</w:t>
      </w:r>
    </w:p>
    <w:p w14:paraId="5DBE6AA7" w14:textId="77777777" w:rsidR="002A0B13" w:rsidRPr="00A9210A" w:rsidRDefault="002A0B13" w:rsidP="002A0B1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76B3F99" w14:textId="5E574192" w:rsidR="002A0B13" w:rsidRPr="00A9210A" w:rsidRDefault="002A0B13" w:rsidP="002A0B1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9210A">
        <w:rPr>
          <w:rFonts w:ascii="Arial" w:hAnsi="Arial" w:cs="Arial"/>
          <w:sz w:val="20"/>
          <w:szCs w:val="20"/>
        </w:rPr>
        <w:t xml:space="preserve">Ale o sile convenience decydują dziś nie tylko nowe otwarcia, ale także to, jak ewoluuje oferta modowa. – Przez sektor convenience, podobnie jak przez cały rynek centrów handlowych, przetacza się </w:t>
      </w:r>
      <w:r>
        <w:rPr>
          <w:rFonts w:ascii="Arial" w:hAnsi="Arial" w:cs="Arial"/>
          <w:sz w:val="20"/>
          <w:szCs w:val="20"/>
        </w:rPr>
        <w:t>obecnie</w:t>
      </w:r>
      <w:r w:rsidRPr="00A9210A">
        <w:rPr>
          <w:rFonts w:ascii="Arial" w:hAnsi="Arial" w:cs="Arial"/>
          <w:sz w:val="20"/>
          <w:szCs w:val="20"/>
        </w:rPr>
        <w:t xml:space="preserve"> </w:t>
      </w:r>
      <w:r w:rsidR="00CE15FE">
        <w:rPr>
          <w:rFonts w:ascii="Arial" w:hAnsi="Arial" w:cs="Arial"/>
          <w:sz w:val="20"/>
          <w:szCs w:val="20"/>
        </w:rPr>
        <w:t>fala</w:t>
      </w:r>
      <w:r w:rsidRPr="00A9210A">
        <w:rPr>
          <w:rFonts w:ascii="Arial" w:hAnsi="Arial" w:cs="Arial"/>
          <w:sz w:val="20"/>
          <w:szCs w:val="20"/>
        </w:rPr>
        <w:t xml:space="preserve"> modernizacji sklepów, które przystosowywane są do nowych konceptów handlowych i strategii </w:t>
      </w:r>
      <w:r w:rsidRPr="00A9210A">
        <w:rPr>
          <w:rFonts w:ascii="Arial" w:hAnsi="Arial" w:cs="Arial"/>
          <w:sz w:val="20"/>
          <w:szCs w:val="20"/>
        </w:rPr>
        <w:lastRenderedPageBreak/>
        <w:t>sprzedaży, opartych często na omnichannelu</w:t>
      </w:r>
      <w:r w:rsidR="00607939">
        <w:rPr>
          <w:rFonts w:ascii="Arial" w:hAnsi="Arial" w:cs="Arial"/>
          <w:sz w:val="20"/>
          <w:szCs w:val="20"/>
        </w:rPr>
        <w:t xml:space="preserve">. </w:t>
      </w:r>
      <w:r w:rsidRPr="00A9210A">
        <w:rPr>
          <w:rFonts w:ascii="Arial" w:hAnsi="Arial" w:cs="Arial"/>
          <w:sz w:val="20"/>
          <w:szCs w:val="20"/>
        </w:rPr>
        <w:t xml:space="preserve">Fakt, że nie omija on tego segmentu, pokazuje, jak dużą rolę </w:t>
      </w:r>
      <w:r>
        <w:rPr>
          <w:rFonts w:ascii="Arial" w:hAnsi="Arial" w:cs="Arial"/>
          <w:sz w:val="20"/>
          <w:szCs w:val="20"/>
        </w:rPr>
        <w:t xml:space="preserve">w </w:t>
      </w:r>
      <w:r w:rsidRPr="00A9210A">
        <w:rPr>
          <w:rFonts w:ascii="Arial" w:hAnsi="Arial" w:cs="Arial"/>
          <w:sz w:val="20"/>
          <w:szCs w:val="20"/>
        </w:rPr>
        <w:t xml:space="preserve">budowaniu pozycji marki odgrywają </w:t>
      </w:r>
      <w:r>
        <w:rPr>
          <w:rFonts w:ascii="Arial" w:hAnsi="Arial" w:cs="Arial"/>
          <w:sz w:val="20"/>
          <w:szCs w:val="20"/>
        </w:rPr>
        <w:t>aktualnie</w:t>
      </w:r>
      <w:r w:rsidRPr="00A9210A">
        <w:rPr>
          <w:rFonts w:ascii="Arial" w:hAnsi="Arial" w:cs="Arial"/>
          <w:sz w:val="20"/>
          <w:szCs w:val="20"/>
        </w:rPr>
        <w:t xml:space="preserve"> centra convenience i retail parki. Zjawisko to obserwujemy także w </w:t>
      </w:r>
      <w:r w:rsidR="00CE15FE">
        <w:rPr>
          <w:rFonts w:ascii="Arial" w:hAnsi="Arial" w:cs="Arial"/>
          <w:sz w:val="20"/>
          <w:szCs w:val="20"/>
        </w:rPr>
        <w:t>inwestycjach</w:t>
      </w:r>
      <w:r w:rsidRPr="00A9210A">
        <w:rPr>
          <w:rFonts w:ascii="Arial" w:hAnsi="Arial" w:cs="Arial"/>
          <w:sz w:val="20"/>
          <w:szCs w:val="20"/>
        </w:rPr>
        <w:t xml:space="preserve"> z portfela Greenman Poland, w których rośnie liczba marek, które przedłużając umowę, decydują się także na szeroko zakrojone remonty – dodaje.</w:t>
      </w:r>
    </w:p>
    <w:p w14:paraId="2873AAA6" w14:textId="77777777" w:rsidR="002A0B13" w:rsidRPr="00A9210A" w:rsidRDefault="002A0B13" w:rsidP="002A0B1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C0B7540" w14:textId="23028ED2" w:rsidR="00607939" w:rsidRDefault="002A0B13" w:rsidP="0060793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9210A">
        <w:rPr>
          <w:rFonts w:ascii="Arial" w:hAnsi="Arial" w:cs="Arial"/>
          <w:sz w:val="20"/>
          <w:szCs w:val="20"/>
        </w:rPr>
        <w:t>Wśród marek modowych, które szykują zmiany, można tam znaleźć m.in. Giacomo Conti. Marka obecna w Nowych Bielawach nie tylko relokuje swój sklep, ale także przystosuje go do nowego konceptu.</w:t>
      </w:r>
      <w:r w:rsidR="00607939" w:rsidRPr="00A9210A">
        <w:rPr>
          <w:rFonts w:ascii="Arial" w:hAnsi="Arial" w:cs="Arial"/>
          <w:sz w:val="20"/>
          <w:szCs w:val="20"/>
        </w:rPr>
        <w:t xml:space="preserve"> </w:t>
      </w:r>
      <w:r w:rsidR="00607939">
        <w:rPr>
          <w:rFonts w:ascii="Arial" w:hAnsi="Arial" w:cs="Arial"/>
          <w:sz w:val="20"/>
          <w:szCs w:val="20"/>
        </w:rPr>
        <w:t xml:space="preserve">Generalny remont i wprowadzenie nowego konceptu w Nowych Bielawach szykuje także </w:t>
      </w:r>
      <w:r w:rsidR="00607939" w:rsidRPr="00A9210A">
        <w:rPr>
          <w:rFonts w:ascii="Arial" w:hAnsi="Arial" w:cs="Arial"/>
          <w:sz w:val="20"/>
          <w:szCs w:val="20"/>
        </w:rPr>
        <w:t>Esotiq. CCC z kolei już zapowiedziało prace remontowe we wszystkich trzech centrach Greenman Poland.</w:t>
      </w:r>
    </w:p>
    <w:p w14:paraId="0ADE5559" w14:textId="2E9DC19D" w:rsidR="002A0B13" w:rsidRPr="00A9210A" w:rsidRDefault="002A0B13" w:rsidP="002A0B1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E7CE052" w14:textId="3EDFC5BE" w:rsidR="002A0B13" w:rsidRPr="00A9210A" w:rsidRDefault="002A0B13" w:rsidP="002A0B1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C91B67">
        <w:rPr>
          <w:rFonts w:ascii="Arial" w:hAnsi="Arial" w:cs="Arial"/>
          <w:sz w:val="20"/>
          <w:szCs w:val="20"/>
        </w:rPr>
        <w:t>Karolina Nitowska podkreśla, że udział marek modowych w segmencie convenience będzie systematycznie rósł</w:t>
      </w:r>
      <w:r w:rsidR="00CE15FE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>– Patrząc na to, które marki interesują się najmem, jesteśmy spokojni o rozwój oferty modowej</w:t>
      </w:r>
      <w:r w:rsidR="00C13111">
        <w:rPr>
          <w:rFonts w:ascii="Arial" w:hAnsi="Arial" w:cs="Arial"/>
          <w:sz w:val="20"/>
          <w:szCs w:val="20"/>
        </w:rPr>
        <w:t xml:space="preserve"> w centrach</w:t>
      </w:r>
      <w:r>
        <w:rPr>
          <w:rFonts w:ascii="Arial" w:hAnsi="Arial" w:cs="Arial"/>
          <w:sz w:val="20"/>
          <w:szCs w:val="20"/>
        </w:rPr>
        <w:t>. Ta będzie zyskiwać na jakości, ale także różnorodności, co jest pozytywnym sygnałem</w:t>
      </w:r>
      <w:r w:rsidR="00C13111">
        <w:rPr>
          <w:rFonts w:ascii="Arial" w:hAnsi="Arial" w:cs="Arial"/>
          <w:sz w:val="20"/>
          <w:szCs w:val="20"/>
        </w:rPr>
        <w:t>. Podobnie zresztą jest w parkach handlowych, w których również obserwujemy większe zainteresowanie najmem ze strony branży fashion</w:t>
      </w:r>
      <w:r>
        <w:rPr>
          <w:rFonts w:ascii="Arial" w:hAnsi="Arial" w:cs="Arial"/>
          <w:sz w:val="20"/>
          <w:szCs w:val="20"/>
        </w:rPr>
        <w:t xml:space="preserve"> – mówi przedstawicielka Greenman Poland.</w:t>
      </w:r>
    </w:p>
    <w:p w14:paraId="31015780" w14:textId="77777777" w:rsidR="00022485" w:rsidRPr="00093336" w:rsidRDefault="00022485" w:rsidP="002A0B1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6B53B58" w14:textId="1F397A45" w:rsidR="002D6472" w:rsidRPr="00093336" w:rsidRDefault="002D6472" w:rsidP="0009333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91370FE" w14:textId="16F8FC7F" w:rsidR="00E839F1" w:rsidRPr="00093336" w:rsidRDefault="00E839F1" w:rsidP="00093336">
      <w:pPr>
        <w:pStyle w:val="Bezodstpw"/>
        <w:jc w:val="both"/>
        <w:rPr>
          <w:rFonts w:ascii="Arial" w:hAnsi="Arial" w:cs="Arial"/>
          <w:sz w:val="20"/>
          <w:szCs w:val="20"/>
          <w:lang w:val="en-US"/>
        </w:rPr>
      </w:pPr>
      <w:r w:rsidRPr="00093336">
        <w:rPr>
          <w:rFonts w:ascii="Arial" w:hAnsi="Arial" w:cs="Arial"/>
          <w:sz w:val="20"/>
          <w:szCs w:val="20"/>
          <w:lang w:val="en-US"/>
        </w:rPr>
        <w:t>źródło: Greenman Poland/Guarana PR</w:t>
      </w:r>
    </w:p>
    <w:p w14:paraId="26160A0E" w14:textId="77777777" w:rsidR="00771DED" w:rsidRPr="00093336" w:rsidRDefault="00771DED" w:rsidP="00093336">
      <w:pPr>
        <w:pStyle w:val="Bezodstpw"/>
        <w:jc w:val="both"/>
        <w:rPr>
          <w:rFonts w:ascii="Arial" w:hAnsi="Arial" w:cs="Arial"/>
          <w:sz w:val="20"/>
          <w:szCs w:val="20"/>
          <w:lang w:val="en-US"/>
        </w:rPr>
      </w:pPr>
    </w:p>
    <w:p w14:paraId="3019CD4D" w14:textId="77777777" w:rsidR="00FD47C4" w:rsidRPr="00093336" w:rsidRDefault="00FD47C4" w:rsidP="00093336">
      <w:pPr>
        <w:pStyle w:val="Bezodstpw"/>
        <w:jc w:val="both"/>
        <w:rPr>
          <w:rFonts w:ascii="Arial" w:hAnsi="Arial" w:cs="Arial"/>
          <w:sz w:val="20"/>
          <w:szCs w:val="20"/>
          <w:lang w:val="en-US"/>
        </w:rPr>
      </w:pPr>
    </w:p>
    <w:p w14:paraId="68E5BFAA" w14:textId="77777777" w:rsidR="00FD47C4" w:rsidRPr="00093336" w:rsidRDefault="00FD47C4" w:rsidP="00093336">
      <w:pPr>
        <w:pStyle w:val="Bezodstpw"/>
        <w:jc w:val="both"/>
        <w:rPr>
          <w:rFonts w:ascii="Arial" w:hAnsi="Arial" w:cs="Arial"/>
          <w:sz w:val="20"/>
          <w:szCs w:val="20"/>
          <w:lang w:val="en-US"/>
        </w:rPr>
      </w:pPr>
    </w:p>
    <w:p w14:paraId="52C1B989" w14:textId="77777777" w:rsidR="009A3CBB" w:rsidRPr="00C26B5A" w:rsidRDefault="009A3CBB" w:rsidP="00093336">
      <w:pPr>
        <w:pStyle w:val="Bezodstpw"/>
        <w:jc w:val="both"/>
        <w:rPr>
          <w:rFonts w:ascii="Arial" w:hAnsi="Arial" w:cs="Arial"/>
          <w:sz w:val="14"/>
          <w:szCs w:val="14"/>
          <w:shd w:val="clear" w:color="auto" w:fill="FFFFFF"/>
          <w:lang w:val="en-US"/>
        </w:rPr>
      </w:pPr>
      <w:r w:rsidRPr="00C26B5A">
        <w:rPr>
          <w:rFonts w:ascii="Arial" w:hAnsi="Arial" w:cs="Arial"/>
          <w:sz w:val="14"/>
          <w:szCs w:val="14"/>
          <w:shd w:val="clear" w:color="auto" w:fill="FFFFFF"/>
          <w:lang w:val="en-US"/>
        </w:rPr>
        <w:t>***</w:t>
      </w:r>
      <w:r w:rsidRPr="00C26B5A">
        <w:rPr>
          <w:rFonts w:ascii="Arial" w:hAnsi="Arial" w:cs="Arial"/>
          <w:sz w:val="14"/>
          <w:szCs w:val="14"/>
          <w:shd w:val="clear" w:color="auto" w:fill="FFFFFF"/>
          <w:lang w:val="en-US"/>
        </w:rPr>
        <w:tab/>
      </w:r>
    </w:p>
    <w:p w14:paraId="119E9FE3" w14:textId="77777777" w:rsidR="002D6472" w:rsidRPr="00C26B5A" w:rsidRDefault="002D6472" w:rsidP="00093336">
      <w:pPr>
        <w:pStyle w:val="Bezodstpw"/>
        <w:jc w:val="both"/>
        <w:rPr>
          <w:rFonts w:ascii="Arial" w:hAnsi="Arial" w:cs="Arial"/>
          <w:sz w:val="14"/>
          <w:szCs w:val="14"/>
          <w:shd w:val="clear" w:color="auto" w:fill="FFFFFF"/>
        </w:rPr>
      </w:pPr>
      <w:bookmarkStart w:id="1" w:name="_Hlk179370043"/>
      <w:r w:rsidRPr="00C26B5A">
        <w:rPr>
          <w:rStyle w:val="Pogrubienie"/>
          <w:rFonts w:ascii="Arial" w:hAnsi="Arial" w:cs="Arial"/>
          <w:sz w:val="14"/>
          <w:szCs w:val="14"/>
          <w:shd w:val="clear" w:color="auto" w:fill="FFFFFF"/>
        </w:rPr>
        <w:t>CH Nowe Bielawy</w:t>
      </w:r>
      <w:r w:rsidRPr="00C26B5A">
        <w:rPr>
          <w:rFonts w:ascii="Arial" w:hAnsi="Arial" w:cs="Arial"/>
          <w:sz w:val="14"/>
          <w:szCs w:val="14"/>
          <w:shd w:val="clear" w:color="auto" w:fill="FFFFFF"/>
        </w:rPr>
        <w:t xml:space="preserve"> zlokalizowane jest we wschodniej części Torunia w pobliżu DK 15 i 80 oraz autostrady A1, niecałe 15 minut od Starego Miasta. Otwarty w 2002 roku obiekt wraz z dwoma parkami handlowymi ma powierzchnię ponad 30 tys. m kw. GLA i liczy sobie ponad 80 sklepów, restauracji i punktów usługowych. Wśród kluczowych najemców znaleźć można m.in. Carrefour, Jysk, RTV Euro AGD, Douglas, Smyk, Empik, home&amp;you, Carry, Rossmann, Pepco i CCC. Zrealizowana w 2022 roku i 2023 roku rozbudowa obiektu, zaowocowała powstaniem 2 nowoczesnych parków handlowych. W ich ofercie dostępne są sklepy: NEONET, Komfort, TEDi, Sinsay, Action i Maxi Zoo. </w:t>
      </w:r>
    </w:p>
    <w:bookmarkEnd w:id="1"/>
    <w:p w14:paraId="0D6893F8" w14:textId="77777777" w:rsidR="002D6472" w:rsidRPr="00C26B5A" w:rsidRDefault="002D6472" w:rsidP="00093336">
      <w:pPr>
        <w:pStyle w:val="Bezodstpw"/>
        <w:jc w:val="both"/>
        <w:rPr>
          <w:rFonts w:ascii="Arial" w:hAnsi="Arial" w:cs="Arial"/>
          <w:sz w:val="14"/>
          <w:szCs w:val="14"/>
          <w:shd w:val="clear" w:color="auto" w:fill="FFFFFF"/>
        </w:rPr>
      </w:pPr>
    </w:p>
    <w:p w14:paraId="00015608" w14:textId="77777777" w:rsidR="002D6472" w:rsidRPr="00C26B5A" w:rsidRDefault="002D6472" w:rsidP="00093336">
      <w:pPr>
        <w:pStyle w:val="Bezodstpw"/>
        <w:jc w:val="both"/>
        <w:rPr>
          <w:rFonts w:ascii="Arial" w:hAnsi="Arial" w:cs="Arial"/>
          <w:sz w:val="14"/>
          <w:szCs w:val="14"/>
          <w:shd w:val="clear" w:color="auto" w:fill="FFFFFF"/>
        </w:rPr>
      </w:pPr>
      <w:r w:rsidRPr="00C26B5A">
        <w:rPr>
          <w:rFonts w:ascii="Arial" w:hAnsi="Arial" w:cs="Arial"/>
          <w:b/>
          <w:bCs/>
          <w:sz w:val="14"/>
          <w:szCs w:val="14"/>
          <w:shd w:val="clear" w:color="auto" w:fill="FFFFFF"/>
        </w:rPr>
        <w:t>CH Nowe Czyżyny</w:t>
      </w:r>
      <w:r w:rsidRPr="00C26B5A">
        <w:rPr>
          <w:rFonts w:ascii="Arial" w:hAnsi="Arial" w:cs="Arial"/>
          <w:sz w:val="14"/>
          <w:szCs w:val="14"/>
          <w:shd w:val="clear" w:color="auto" w:fill="FFFFFF"/>
        </w:rPr>
        <w:t xml:space="preserve"> zlokalizowane jest w Krakowie przy ul. Medweckiego 2. Otwarty w 2002 roku obiekt ma powierzchnię 31 tys. m kw. GLA i liczy sobie 95 sklepów, restauracji i punktów usługowych. Wśród kluczowych najemców znaleźć można m.in. Carrefour, Leroy Merlin, Jysk, RTV Euro AGD, Empik,  Douglas, Rossmann, home&amp;you, Big Star, Pepco, KFC i CCC. Zmotoryzowani mają tutaj do dyspozycji ponad 850 miejsc postojowych.</w:t>
      </w:r>
    </w:p>
    <w:p w14:paraId="4E4E2894" w14:textId="77777777" w:rsidR="002D6472" w:rsidRPr="00C26B5A" w:rsidRDefault="002D6472" w:rsidP="00093336">
      <w:pPr>
        <w:pStyle w:val="Bezodstpw"/>
        <w:jc w:val="both"/>
        <w:rPr>
          <w:rFonts w:ascii="Arial" w:hAnsi="Arial" w:cs="Arial"/>
          <w:sz w:val="14"/>
          <w:szCs w:val="14"/>
          <w:shd w:val="clear" w:color="auto" w:fill="FFFFFF"/>
        </w:rPr>
      </w:pPr>
    </w:p>
    <w:p w14:paraId="27778E09" w14:textId="77777777" w:rsidR="002D6472" w:rsidRPr="00C26B5A" w:rsidRDefault="002D6472" w:rsidP="00093336">
      <w:pPr>
        <w:pStyle w:val="Bezodstpw"/>
        <w:jc w:val="both"/>
        <w:rPr>
          <w:rFonts w:ascii="Arial" w:hAnsi="Arial" w:cs="Arial"/>
          <w:sz w:val="14"/>
          <w:szCs w:val="14"/>
          <w:shd w:val="clear" w:color="auto" w:fill="FFFFFF"/>
        </w:rPr>
      </w:pPr>
      <w:r w:rsidRPr="00C26B5A">
        <w:rPr>
          <w:rFonts w:ascii="Arial" w:hAnsi="Arial" w:cs="Arial"/>
          <w:b/>
          <w:bCs/>
          <w:sz w:val="14"/>
          <w:szCs w:val="14"/>
          <w:shd w:val="clear" w:color="auto" w:fill="FFFFFF"/>
        </w:rPr>
        <w:t>CH Nowa Górna</w:t>
      </w:r>
      <w:r w:rsidRPr="00C26B5A">
        <w:rPr>
          <w:rFonts w:ascii="Arial" w:hAnsi="Arial" w:cs="Arial"/>
          <w:sz w:val="14"/>
          <w:szCs w:val="14"/>
          <w:shd w:val="clear" w:color="auto" w:fill="FFFFFF"/>
        </w:rPr>
        <w:t xml:space="preserve"> zlokalizowane jest w Łodzi przy ul. Kolumny 6/36. Otwarty w 1997 roku obiekt wraz z parkiem handlowym ma powierzchnię ponad 20 tys. m kw. GLA i liczy blisko 50 sklepów i punktów usługowych. W minionym roku centrum odwiedziło blisko 3 mln osób. Wśród kluczowych najemców centrum znaleźć można m.in. Carrefour, CCC, Pepco, Rossmann, Vision Express i W. Kruk. Zmotoryzowani mają tutaj do dyspozycji 890 miejsc postojowych. W kwietniu 2024 r. zakończyła rozbudowa Nowej Górnej, w efekcie której przy obiekcie powstał park handlowy. Inwestycja pomieściła 4 sklepy wielkopowierzchniowe: Sinsay, Action, KiK i Maxi Zoo.</w:t>
      </w:r>
    </w:p>
    <w:p w14:paraId="3090AF8F" w14:textId="77777777" w:rsidR="002D6472" w:rsidRPr="00C26B5A" w:rsidRDefault="002D6472" w:rsidP="00093336">
      <w:pPr>
        <w:pStyle w:val="Bezodstpw"/>
        <w:jc w:val="both"/>
        <w:rPr>
          <w:rFonts w:ascii="Arial" w:hAnsi="Arial" w:cs="Arial"/>
          <w:sz w:val="14"/>
          <w:szCs w:val="14"/>
          <w:shd w:val="clear" w:color="auto" w:fill="FFFFFF"/>
        </w:rPr>
      </w:pPr>
    </w:p>
    <w:p w14:paraId="4D4D9C71" w14:textId="77777777" w:rsidR="009A3CBB" w:rsidRPr="00C26B5A" w:rsidRDefault="009A3CBB" w:rsidP="00093336">
      <w:pPr>
        <w:pStyle w:val="Bezodstpw"/>
        <w:jc w:val="both"/>
        <w:rPr>
          <w:rFonts w:ascii="Arial" w:hAnsi="Arial" w:cs="Arial"/>
          <w:sz w:val="14"/>
          <w:szCs w:val="14"/>
        </w:rPr>
      </w:pPr>
    </w:p>
    <w:p w14:paraId="55CE671A" w14:textId="1DB5C784" w:rsidR="00DD3069" w:rsidRPr="00C26B5A" w:rsidRDefault="00DD3069" w:rsidP="00093336">
      <w:pPr>
        <w:pStyle w:val="Bezodstpw"/>
        <w:jc w:val="both"/>
        <w:rPr>
          <w:rFonts w:ascii="Arial" w:hAnsi="Arial" w:cs="Arial"/>
          <w:sz w:val="14"/>
          <w:szCs w:val="14"/>
          <w:shd w:val="clear" w:color="auto" w:fill="FFFFFF"/>
        </w:rPr>
      </w:pPr>
      <w:r w:rsidRPr="00C26B5A">
        <w:rPr>
          <w:rFonts w:ascii="Arial" w:hAnsi="Arial" w:cs="Arial"/>
          <w:b/>
          <w:bCs/>
          <w:sz w:val="14"/>
          <w:szCs w:val="14"/>
          <w:shd w:val="clear" w:color="auto" w:fill="FFFFFF"/>
        </w:rPr>
        <w:t>Greenman Poland</w:t>
      </w:r>
      <w:r w:rsidRPr="00C26B5A">
        <w:rPr>
          <w:rFonts w:ascii="Arial" w:hAnsi="Arial" w:cs="Arial"/>
          <w:sz w:val="14"/>
          <w:szCs w:val="14"/>
          <w:shd w:val="clear" w:color="auto" w:fill="FFFFFF"/>
        </w:rPr>
        <w:t xml:space="preserve">, asset manager i deweloper w segmencie convenience z siedzibą w Warszawie, koncentruje się na nabywaniu, zarządzaniu oraz rozwoju parków handlowych i centrów handlowych bazujących na ofercie spożywczej. Greenman Poland zarządza aktywami o wartości </w:t>
      </w:r>
      <w:r w:rsidR="006A51B4" w:rsidRPr="00C26B5A">
        <w:rPr>
          <w:rFonts w:ascii="Arial" w:hAnsi="Arial" w:cs="Arial"/>
          <w:sz w:val="14"/>
          <w:szCs w:val="14"/>
          <w:shd w:val="clear" w:color="auto" w:fill="FFFFFF"/>
        </w:rPr>
        <w:t>160</w:t>
      </w:r>
      <w:r w:rsidRPr="00C26B5A">
        <w:rPr>
          <w:rFonts w:ascii="Arial" w:hAnsi="Arial" w:cs="Arial"/>
          <w:sz w:val="14"/>
          <w:szCs w:val="14"/>
          <w:shd w:val="clear" w:color="auto" w:fill="FFFFFF"/>
        </w:rPr>
        <w:t xml:space="preserve"> mln euro, na które składają się parki handlowe i centra handlowe o łącznej powierzchni 87 tys. m kw. Najemcami tych obiektów są wiodące europejskie sieci handlowe, takie jak Carrefour, Rossmann, JYSK, Pepco czy Spar.</w:t>
      </w:r>
    </w:p>
    <w:p w14:paraId="704398EB" w14:textId="77777777" w:rsidR="00DD3069" w:rsidRPr="00C26B5A" w:rsidRDefault="00DD3069" w:rsidP="00093336">
      <w:pPr>
        <w:pStyle w:val="Bezodstpw"/>
        <w:jc w:val="both"/>
        <w:rPr>
          <w:rFonts w:ascii="Arial" w:hAnsi="Arial" w:cs="Arial"/>
          <w:sz w:val="14"/>
          <w:szCs w:val="14"/>
          <w:shd w:val="clear" w:color="auto" w:fill="FFFFFF"/>
        </w:rPr>
      </w:pPr>
    </w:p>
    <w:p w14:paraId="7872E260" w14:textId="1BB09152" w:rsidR="00DD3069" w:rsidRPr="00C26B5A" w:rsidRDefault="00DD3069" w:rsidP="00093336">
      <w:pPr>
        <w:pStyle w:val="Bezodstpw"/>
        <w:jc w:val="both"/>
        <w:rPr>
          <w:rFonts w:ascii="Arial" w:hAnsi="Arial" w:cs="Arial"/>
          <w:sz w:val="14"/>
          <w:szCs w:val="14"/>
          <w:shd w:val="clear" w:color="auto" w:fill="FFFFFF"/>
        </w:rPr>
      </w:pPr>
      <w:r w:rsidRPr="00C26B5A">
        <w:rPr>
          <w:rFonts w:ascii="Arial" w:hAnsi="Arial" w:cs="Arial"/>
          <w:sz w:val="14"/>
          <w:szCs w:val="14"/>
          <w:shd w:val="clear" w:color="auto" w:fill="FFFFFF"/>
          <w:lang w:val="en-US"/>
        </w:rPr>
        <w:t xml:space="preserve">Greenman Poland jest </w:t>
      </w:r>
      <w:r w:rsidR="00C20C6A" w:rsidRPr="00C26B5A">
        <w:rPr>
          <w:rFonts w:ascii="Arial" w:hAnsi="Arial" w:cs="Arial"/>
          <w:sz w:val="14"/>
          <w:szCs w:val="14"/>
          <w:shd w:val="clear" w:color="auto" w:fill="FFFFFF"/>
          <w:lang w:val="en-US"/>
        </w:rPr>
        <w:t xml:space="preserve">częścią </w:t>
      </w:r>
      <w:r w:rsidRPr="00C26B5A">
        <w:rPr>
          <w:rFonts w:ascii="Arial" w:hAnsi="Arial" w:cs="Arial"/>
          <w:b/>
          <w:bCs/>
          <w:sz w:val="14"/>
          <w:szCs w:val="14"/>
          <w:shd w:val="clear" w:color="auto" w:fill="FFFFFF"/>
          <w:lang w:val="en-US"/>
        </w:rPr>
        <w:t>Greenman Group</w:t>
      </w:r>
      <w:r w:rsidR="00D67874" w:rsidRPr="00C26B5A">
        <w:rPr>
          <w:rFonts w:ascii="Arial" w:hAnsi="Arial" w:cs="Arial"/>
          <w:sz w:val="14"/>
          <w:szCs w:val="14"/>
          <w:shd w:val="clear" w:color="auto" w:fill="FFFFFF"/>
          <w:lang w:val="en-US"/>
        </w:rPr>
        <w:t>.</w:t>
      </w:r>
      <w:r w:rsidRPr="00C26B5A">
        <w:rPr>
          <w:rFonts w:ascii="Arial" w:hAnsi="Arial" w:cs="Arial"/>
          <w:sz w:val="14"/>
          <w:szCs w:val="14"/>
          <w:shd w:val="clear" w:color="auto" w:fill="FFFFFF"/>
          <w:lang w:val="en-US"/>
        </w:rPr>
        <w:t xml:space="preserve"> </w:t>
      </w:r>
      <w:r w:rsidRPr="00C26B5A">
        <w:rPr>
          <w:rFonts w:ascii="Arial" w:hAnsi="Arial" w:cs="Arial"/>
          <w:sz w:val="14"/>
          <w:szCs w:val="14"/>
          <w:shd w:val="clear" w:color="auto" w:fill="FFFFFF"/>
        </w:rPr>
        <w:t>Grupa powstała w 2020 roku, jej główna siedziba znajduje się w Dublinie</w:t>
      </w:r>
      <w:r w:rsidR="00DF69EC" w:rsidRPr="00C26B5A">
        <w:rPr>
          <w:rFonts w:ascii="Arial" w:hAnsi="Arial" w:cs="Arial"/>
          <w:sz w:val="14"/>
          <w:szCs w:val="14"/>
          <w:shd w:val="clear" w:color="auto" w:fill="FFFFFF"/>
        </w:rPr>
        <w:t xml:space="preserve"> w Irlandii</w:t>
      </w:r>
      <w:r w:rsidRPr="00C26B5A">
        <w:rPr>
          <w:rFonts w:ascii="Arial" w:hAnsi="Arial" w:cs="Arial"/>
          <w:sz w:val="14"/>
          <w:szCs w:val="14"/>
          <w:shd w:val="clear" w:color="auto" w:fill="FFFFFF"/>
        </w:rPr>
        <w:t xml:space="preserve">, a spółki zależne </w:t>
      </w:r>
      <w:r w:rsidR="00093336" w:rsidRPr="00C26B5A">
        <w:rPr>
          <w:rFonts w:ascii="Arial" w:hAnsi="Arial" w:cs="Arial"/>
          <w:sz w:val="14"/>
          <w:szCs w:val="14"/>
          <w:shd w:val="clear" w:color="auto" w:fill="FFFFFF"/>
        </w:rPr>
        <w:t>działają w</w:t>
      </w:r>
      <w:r w:rsidRPr="00C26B5A">
        <w:rPr>
          <w:rFonts w:ascii="Arial" w:hAnsi="Arial" w:cs="Arial"/>
          <w:sz w:val="14"/>
          <w:szCs w:val="14"/>
          <w:shd w:val="clear" w:color="auto" w:fill="FFFFFF"/>
        </w:rPr>
        <w:t xml:space="preserve"> 6 krajach i prowadzą działalność w 5 odrębnych obszarach biznesowych: usługi finansowe, nieruchomości, żywność i rolnictwo, media oraz zintegrowane sieci. Greenman Investments jest wiodącym na rynku, sektorowym funduszem inwestycyjnym Grupy, inwestują</w:t>
      </w:r>
      <w:r w:rsidR="00C20C6A" w:rsidRPr="00C26B5A">
        <w:rPr>
          <w:rFonts w:ascii="Arial" w:hAnsi="Arial" w:cs="Arial"/>
          <w:sz w:val="14"/>
          <w:szCs w:val="14"/>
          <w:shd w:val="clear" w:color="auto" w:fill="FFFFFF"/>
        </w:rPr>
        <w:t>cym</w:t>
      </w:r>
      <w:r w:rsidRPr="00C26B5A">
        <w:rPr>
          <w:rFonts w:ascii="Arial" w:hAnsi="Arial" w:cs="Arial"/>
          <w:sz w:val="14"/>
          <w:szCs w:val="14"/>
          <w:shd w:val="clear" w:color="auto" w:fill="FFFFFF"/>
        </w:rPr>
        <w:t xml:space="preserve"> </w:t>
      </w:r>
      <w:r w:rsidR="002338A2" w:rsidRPr="00C26B5A">
        <w:rPr>
          <w:rFonts w:ascii="Arial" w:hAnsi="Arial" w:cs="Arial"/>
          <w:sz w:val="14"/>
          <w:szCs w:val="14"/>
          <w:shd w:val="clear" w:color="auto" w:fill="FFFFFF"/>
        </w:rPr>
        <w:t xml:space="preserve">głównie </w:t>
      </w:r>
      <w:r w:rsidRPr="00C26B5A">
        <w:rPr>
          <w:rFonts w:ascii="Arial" w:hAnsi="Arial" w:cs="Arial"/>
          <w:sz w:val="14"/>
          <w:szCs w:val="14"/>
          <w:shd w:val="clear" w:color="auto" w:fill="FFFFFF"/>
        </w:rPr>
        <w:t>w parki handlowe i magazyny handlowe oparte na ofercie spożywczej</w:t>
      </w:r>
      <w:bookmarkEnd w:id="0"/>
    </w:p>
    <w:p w14:paraId="5E5F12DF" w14:textId="77777777" w:rsidR="009C13DF" w:rsidRPr="00C26B5A" w:rsidRDefault="009C13DF" w:rsidP="00093336">
      <w:pPr>
        <w:pStyle w:val="Bezodstpw"/>
        <w:jc w:val="both"/>
        <w:rPr>
          <w:rStyle w:val="Pogrubienie"/>
          <w:rFonts w:ascii="Arial" w:hAnsi="Arial" w:cs="Arial"/>
          <w:sz w:val="14"/>
          <w:szCs w:val="14"/>
        </w:rPr>
      </w:pPr>
    </w:p>
    <w:p w14:paraId="14F6F9D6" w14:textId="77777777" w:rsidR="002723AC" w:rsidRPr="00C26B5A" w:rsidRDefault="002723AC" w:rsidP="00093336">
      <w:pPr>
        <w:pStyle w:val="Bezodstpw"/>
        <w:jc w:val="both"/>
        <w:rPr>
          <w:rFonts w:ascii="Arial" w:hAnsi="Arial" w:cs="Arial"/>
          <w:b/>
          <w:bCs/>
          <w:sz w:val="14"/>
          <w:szCs w:val="14"/>
        </w:rPr>
      </w:pPr>
    </w:p>
    <w:sectPr w:rsidR="002723AC" w:rsidRPr="00C26B5A" w:rsidSect="00332EEA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3FABCB" w14:textId="77777777" w:rsidR="00472866" w:rsidRDefault="00472866" w:rsidP="002723AC">
      <w:pPr>
        <w:spacing w:after="0" w:line="240" w:lineRule="auto"/>
      </w:pPr>
      <w:r>
        <w:separator/>
      </w:r>
    </w:p>
  </w:endnote>
  <w:endnote w:type="continuationSeparator" w:id="0">
    <w:p w14:paraId="25595996" w14:textId="77777777" w:rsidR="00472866" w:rsidRDefault="00472866" w:rsidP="00272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C63C06" w14:textId="77777777" w:rsidR="00472866" w:rsidRDefault="00472866" w:rsidP="002723AC">
      <w:pPr>
        <w:spacing w:after="0" w:line="240" w:lineRule="auto"/>
      </w:pPr>
      <w:r>
        <w:separator/>
      </w:r>
    </w:p>
  </w:footnote>
  <w:footnote w:type="continuationSeparator" w:id="0">
    <w:p w14:paraId="519D8E98" w14:textId="77777777" w:rsidR="00472866" w:rsidRDefault="00472866" w:rsidP="00272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894738" w14:textId="77777777" w:rsidR="002723AC" w:rsidRDefault="002723AC" w:rsidP="004564A2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1F2CEE"/>
    <w:multiLevelType w:val="hybridMultilevel"/>
    <w:tmpl w:val="AA5E87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DD1C7D"/>
    <w:multiLevelType w:val="hybridMultilevel"/>
    <w:tmpl w:val="6988DF3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253D31"/>
    <w:multiLevelType w:val="hybridMultilevel"/>
    <w:tmpl w:val="978C6A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DF0468"/>
    <w:multiLevelType w:val="hybridMultilevel"/>
    <w:tmpl w:val="673E43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FB6BB0"/>
    <w:multiLevelType w:val="hybridMultilevel"/>
    <w:tmpl w:val="975E57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F13D3A"/>
    <w:multiLevelType w:val="hybridMultilevel"/>
    <w:tmpl w:val="30AC7C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598055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55416239">
    <w:abstractNumId w:val="2"/>
  </w:num>
  <w:num w:numId="3" w16cid:durableId="1906181101">
    <w:abstractNumId w:val="0"/>
  </w:num>
  <w:num w:numId="4" w16cid:durableId="1380595850">
    <w:abstractNumId w:val="3"/>
  </w:num>
  <w:num w:numId="5" w16cid:durableId="1081756214">
    <w:abstractNumId w:val="5"/>
  </w:num>
  <w:num w:numId="6" w16cid:durableId="775910011">
    <w:abstractNumId w:val="4"/>
  </w:num>
  <w:num w:numId="7" w16cid:durableId="5094914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32C"/>
    <w:rsid w:val="00001C47"/>
    <w:rsid w:val="000023F7"/>
    <w:rsid w:val="00003913"/>
    <w:rsid w:val="000058B5"/>
    <w:rsid w:val="00005936"/>
    <w:rsid w:val="00006ADB"/>
    <w:rsid w:val="0001111F"/>
    <w:rsid w:val="000116CD"/>
    <w:rsid w:val="00017ABF"/>
    <w:rsid w:val="00022485"/>
    <w:rsid w:val="000228F2"/>
    <w:rsid w:val="00022B43"/>
    <w:rsid w:val="000251A0"/>
    <w:rsid w:val="000259F9"/>
    <w:rsid w:val="00025F88"/>
    <w:rsid w:val="00026A2C"/>
    <w:rsid w:val="00026EC4"/>
    <w:rsid w:val="0002756F"/>
    <w:rsid w:val="00031776"/>
    <w:rsid w:val="000328B9"/>
    <w:rsid w:val="0003332C"/>
    <w:rsid w:val="00035DE3"/>
    <w:rsid w:val="000369DF"/>
    <w:rsid w:val="0003739D"/>
    <w:rsid w:val="00037C61"/>
    <w:rsid w:val="00040C53"/>
    <w:rsid w:val="00044345"/>
    <w:rsid w:val="00044902"/>
    <w:rsid w:val="00045AB3"/>
    <w:rsid w:val="000502E5"/>
    <w:rsid w:val="0005213F"/>
    <w:rsid w:val="00053BF1"/>
    <w:rsid w:val="000548C3"/>
    <w:rsid w:val="00055212"/>
    <w:rsid w:val="00056128"/>
    <w:rsid w:val="00056582"/>
    <w:rsid w:val="00056E6A"/>
    <w:rsid w:val="00061296"/>
    <w:rsid w:val="000667DA"/>
    <w:rsid w:val="00066D3C"/>
    <w:rsid w:val="00074719"/>
    <w:rsid w:val="0007538F"/>
    <w:rsid w:val="000771E2"/>
    <w:rsid w:val="00077D26"/>
    <w:rsid w:val="00080EF8"/>
    <w:rsid w:val="000839B3"/>
    <w:rsid w:val="000854AD"/>
    <w:rsid w:val="00087E69"/>
    <w:rsid w:val="00090383"/>
    <w:rsid w:val="00090BDE"/>
    <w:rsid w:val="0009252D"/>
    <w:rsid w:val="000926BC"/>
    <w:rsid w:val="00092C6B"/>
    <w:rsid w:val="00092C96"/>
    <w:rsid w:val="000932C8"/>
    <w:rsid w:val="00093336"/>
    <w:rsid w:val="00094967"/>
    <w:rsid w:val="0009573C"/>
    <w:rsid w:val="00096B09"/>
    <w:rsid w:val="00096EC2"/>
    <w:rsid w:val="00097653"/>
    <w:rsid w:val="000A1BE0"/>
    <w:rsid w:val="000A2597"/>
    <w:rsid w:val="000A2FCC"/>
    <w:rsid w:val="000A48A4"/>
    <w:rsid w:val="000A5297"/>
    <w:rsid w:val="000A5864"/>
    <w:rsid w:val="000A60BE"/>
    <w:rsid w:val="000A6635"/>
    <w:rsid w:val="000A719B"/>
    <w:rsid w:val="000A7626"/>
    <w:rsid w:val="000A7A51"/>
    <w:rsid w:val="000B0B9D"/>
    <w:rsid w:val="000B2580"/>
    <w:rsid w:val="000B3B8F"/>
    <w:rsid w:val="000B431C"/>
    <w:rsid w:val="000B51C3"/>
    <w:rsid w:val="000B5769"/>
    <w:rsid w:val="000C0D29"/>
    <w:rsid w:val="000C137A"/>
    <w:rsid w:val="000C18A4"/>
    <w:rsid w:val="000C4F3F"/>
    <w:rsid w:val="000C6E3B"/>
    <w:rsid w:val="000D460D"/>
    <w:rsid w:val="000D48B9"/>
    <w:rsid w:val="000D526D"/>
    <w:rsid w:val="000D62B9"/>
    <w:rsid w:val="000E16D7"/>
    <w:rsid w:val="000E208A"/>
    <w:rsid w:val="000E3835"/>
    <w:rsid w:val="000F433B"/>
    <w:rsid w:val="000F4F6C"/>
    <w:rsid w:val="000F4FE6"/>
    <w:rsid w:val="000F510B"/>
    <w:rsid w:val="000F5D5A"/>
    <w:rsid w:val="000F62A4"/>
    <w:rsid w:val="000F62DF"/>
    <w:rsid w:val="000F722D"/>
    <w:rsid w:val="000F770B"/>
    <w:rsid w:val="00102543"/>
    <w:rsid w:val="00102643"/>
    <w:rsid w:val="0010375A"/>
    <w:rsid w:val="00106CD3"/>
    <w:rsid w:val="00106EBF"/>
    <w:rsid w:val="001073B2"/>
    <w:rsid w:val="0011014B"/>
    <w:rsid w:val="00110667"/>
    <w:rsid w:val="00111E5B"/>
    <w:rsid w:val="001123DF"/>
    <w:rsid w:val="0011495F"/>
    <w:rsid w:val="0011570A"/>
    <w:rsid w:val="0011723E"/>
    <w:rsid w:val="0011791E"/>
    <w:rsid w:val="001307F8"/>
    <w:rsid w:val="00131809"/>
    <w:rsid w:val="00131CC3"/>
    <w:rsid w:val="00132B42"/>
    <w:rsid w:val="001332C5"/>
    <w:rsid w:val="001349B1"/>
    <w:rsid w:val="001351A4"/>
    <w:rsid w:val="00136442"/>
    <w:rsid w:val="0013767D"/>
    <w:rsid w:val="00140EFF"/>
    <w:rsid w:val="00142563"/>
    <w:rsid w:val="00142941"/>
    <w:rsid w:val="0014302D"/>
    <w:rsid w:val="001432E1"/>
    <w:rsid w:val="001434C9"/>
    <w:rsid w:val="0014477B"/>
    <w:rsid w:val="00145355"/>
    <w:rsid w:val="00145B7C"/>
    <w:rsid w:val="00145FE9"/>
    <w:rsid w:val="00150A2F"/>
    <w:rsid w:val="00150C6F"/>
    <w:rsid w:val="001510FD"/>
    <w:rsid w:val="00152C9A"/>
    <w:rsid w:val="001533B4"/>
    <w:rsid w:val="00154B61"/>
    <w:rsid w:val="001559FD"/>
    <w:rsid w:val="00155E51"/>
    <w:rsid w:val="001603EC"/>
    <w:rsid w:val="001609D0"/>
    <w:rsid w:val="00160F96"/>
    <w:rsid w:val="001651A4"/>
    <w:rsid w:val="001655B8"/>
    <w:rsid w:val="0016769B"/>
    <w:rsid w:val="00171C38"/>
    <w:rsid w:val="00172911"/>
    <w:rsid w:val="00172D9C"/>
    <w:rsid w:val="001732EA"/>
    <w:rsid w:val="00174328"/>
    <w:rsid w:val="001814D7"/>
    <w:rsid w:val="00181676"/>
    <w:rsid w:val="00181931"/>
    <w:rsid w:val="001825AF"/>
    <w:rsid w:val="00183B72"/>
    <w:rsid w:val="00185843"/>
    <w:rsid w:val="0018610B"/>
    <w:rsid w:val="00186187"/>
    <w:rsid w:val="001867D1"/>
    <w:rsid w:val="00192AEF"/>
    <w:rsid w:val="0019391B"/>
    <w:rsid w:val="001944CC"/>
    <w:rsid w:val="001A071E"/>
    <w:rsid w:val="001A1B05"/>
    <w:rsid w:val="001A1ECC"/>
    <w:rsid w:val="001A4AE5"/>
    <w:rsid w:val="001A59D2"/>
    <w:rsid w:val="001A5E3E"/>
    <w:rsid w:val="001A6436"/>
    <w:rsid w:val="001A72D9"/>
    <w:rsid w:val="001A78E9"/>
    <w:rsid w:val="001B077E"/>
    <w:rsid w:val="001B0A4D"/>
    <w:rsid w:val="001B14A3"/>
    <w:rsid w:val="001B1F2A"/>
    <w:rsid w:val="001B5A9F"/>
    <w:rsid w:val="001B7B73"/>
    <w:rsid w:val="001C2585"/>
    <w:rsid w:val="001C3948"/>
    <w:rsid w:val="001C7A54"/>
    <w:rsid w:val="001D0029"/>
    <w:rsid w:val="001D0CE4"/>
    <w:rsid w:val="001D10B1"/>
    <w:rsid w:val="001D15B3"/>
    <w:rsid w:val="001D28EB"/>
    <w:rsid w:val="001D2AC2"/>
    <w:rsid w:val="001E015F"/>
    <w:rsid w:val="001E39B0"/>
    <w:rsid w:val="001E3AA0"/>
    <w:rsid w:val="001E4728"/>
    <w:rsid w:val="001E4E9E"/>
    <w:rsid w:val="001E759A"/>
    <w:rsid w:val="001E75BE"/>
    <w:rsid w:val="001F27B3"/>
    <w:rsid w:val="001F3E16"/>
    <w:rsid w:val="001F4B56"/>
    <w:rsid w:val="001F5A2A"/>
    <w:rsid w:val="001F74E0"/>
    <w:rsid w:val="00200876"/>
    <w:rsid w:val="00201117"/>
    <w:rsid w:val="002017A3"/>
    <w:rsid w:val="00202EA3"/>
    <w:rsid w:val="00205688"/>
    <w:rsid w:val="0020664B"/>
    <w:rsid w:val="00206B86"/>
    <w:rsid w:val="00207D6A"/>
    <w:rsid w:val="0021029F"/>
    <w:rsid w:val="00211409"/>
    <w:rsid w:val="0021144C"/>
    <w:rsid w:val="00211469"/>
    <w:rsid w:val="00212165"/>
    <w:rsid w:val="00212654"/>
    <w:rsid w:val="00212BC0"/>
    <w:rsid w:val="00213186"/>
    <w:rsid w:val="00213C09"/>
    <w:rsid w:val="002145E1"/>
    <w:rsid w:val="00215DDF"/>
    <w:rsid w:val="002168C6"/>
    <w:rsid w:val="002168F7"/>
    <w:rsid w:val="00216B68"/>
    <w:rsid w:val="00216BAF"/>
    <w:rsid w:val="002174FF"/>
    <w:rsid w:val="00217B96"/>
    <w:rsid w:val="00220C25"/>
    <w:rsid w:val="0022236B"/>
    <w:rsid w:val="00222C6C"/>
    <w:rsid w:val="0022347E"/>
    <w:rsid w:val="00225C57"/>
    <w:rsid w:val="00227AC0"/>
    <w:rsid w:val="0023103B"/>
    <w:rsid w:val="002330B9"/>
    <w:rsid w:val="002335E1"/>
    <w:rsid w:val="002338A2"/>
    <w:rsid w:val="00235013"/>
    <w:rsid w:val="00235045"/>
    <w:rsid w:val="00235104"/>
    <w:rsid w:val="0023631F"/>
    <w:rsid w:val="0023689C"/>
    <w:rsid w:val="00236A74"/>
    <w:rsid w:val="002377A8"/>
    <w:rsid w:val="002377CC"/>
    <w:rsid w:val="00237A55"/>
    <w:rsid w:val="0024257D"/>
    <w:rsid w:val="002447DE"/>
    <w:rsid w:val="00245D29"/>
    <w:rsid w:val="002471BA"/>
    <w:rsid w:val="00250134"/>
    <w:rsid w:val="00255253"/>
    <w:rsid w:val="00257679"/>
    <w:rsid w:val="00257731"/>
    <w:rsid w:val="00261DFB"/>
    <w:rsid w:val="00262A0F"/>
    <w:rsid w:val="0026354D"/>
    <w:rsid w:val="00271C29"/>
    <w:rsid w:val="0027208D"/>
    <w:rsid w:val="00272212"/>
    <w:rsid w:val="002723AC"/>
    <w:rsid w:val="002723F7"/>
    <w:rsid w:val="00273C93"/>
    <w:rsid w:val="00274750"/>
    <w:rsid w:val="002747A2"/>
    <w:rsid w:val="00274930"/>
    <w:rsid w:val="002824A2"/>
    <w:rsid w:val="00284270"/>
    <w:rsid w:val="002844D2"/>
    <w:rsid w:val="00287832"/>
    <w:rsid w:val="00287CDF"/>
    <w:rsid w:val="00287F1A"/>
    <w:rsid w:val="00290C54"/>
    <w:rsid w:val="00291E89"/>
    <w:rsid w:val="0029207F"/>
    <w:rsid w:val="002923CF"/>
    <w:rsid w:val="00292F28"/>
    <w:rsid w:val="002944C2"/>
    <w:rsid w:val="00295AEB"/>
    <w:rsid w:val="00295B83"/>
    <w:rsid w:val="00296A5D"/>
    <w:rsid w:val="002A0B13"/>
    <w:rsid w:val="002A4942"/>
    <w:rsid w:val="002A4EE0"/>
    <w:rsid w:val="002A4F07"/>
    <w:rsid w:val="002A55A5"/>
    <w:rsid w:val="002B0902"/>
    <w:rsid w:val="002B2F5A"/>
    <w:rsid w:val="002B3150"/>
    <w:rsid w:val="002B3428"/>
    <w:rsid w:val="002B46E0"/>
    <w:rsid w:val="002B553C"/>
    <w:rsid w:val="002B6EA9"/>
    <w:rsid w:val="002B79E8"/>
    <w:rsid w:val="002C0C31"/>
    <w:rsid w:val="002C1566"/>
    <w:rsid w:val="002C1B22"/>
    <w:rsid w:val="002C3691"/>
    <w:rsid w:val="002C4978"/>
    <w:rsid w:val="002C6A4F"/>
    <w:rsid w:val="002D2701"/>
    <w:rsid w:val="002D2809"/>
    <w:rsid w:val="002D3940"/>
    <w:rsid w:val="002D6472"/>
    <w:rsid w:val="002E1147"/>
    <w:rsid w:val="002E12C2"/>
    <w:rsid w:val="002E1309"/>
    <w:rsid w:val="002E274C"/>
    <w:rsid w:val="002E2874"/>
    <w:rsid w:val="002E4BE8"/>
    <w:rsid w:val="002E5001"/>
    <w:rsid w:val="002E6589"/>
    <w:rsid w:val="002E685D"/>
    <w:rsid w:val="002E6E25"/>
    <w:rsid w:val="002E7101"/>
    <w:rsid w:val="002E7289"/>
    <w:rsid w:val="002F09AE"/>
    <w:rsid w:val="002F0BC4"/>
    <w:rsid w:val="002F1780"/>
    <w:rsid w:val="002F229E"/>
    <w:rsid w:val="002F2E90"/>
    <w:rsid w:val="002F3998"/>
    <w:rsid w:val="002F596C"/>
    <w:rsid w:val="002F5D2F"/>
    <w:rsid w:val="00300B14"/>
    <w:rsid w:val="0030183C"/>
    <w:rsid w:val="00302448"/>
    <w:rsid w:val="0030358D"/>
    <w:rsid w:val="003042DB"/>
    <w:rsid w:val="003070FF"/>
    <w:rsid w:val="00310FD6"/>
    <w:rsid w:val="003127D8"/>
    <w:rsid w:val="00314EBA"/>
    <w:rsid w:val="00315E29"/>
    <w:rsid w:val="00317D71"/>
    <w:rsid w:val="0032234C"/>
    <w:rsid w:val="003228C4"/>
    <w:rsid w:val="00324F7A"/>
    <w:rsid w:val="0032654A"/>
    <w:rsid w:val="003265E8"/>
    <w:rsid w:val="00332EEA"/>
    <w:rsid w:val="003334F2"/>
    <w:rsid w:val="00333DA7"/>
    <w:rsid w:val="00335A7E"/>
    <w:rsid w:val="00335BC1"/>
    <w:rsid w:val="00335D64"/>
    <w:rsid w:val="00336EBB"/>
    <w:rsid w:val="00337DA0"/>
    <w:rsid w:val="00342A3B"/>
    <w:rsid w:val="00343BB1"/>
    <w:rsid w:val="00343E3F"/>
    <w:rsid w:val="00343EBC"/>
    <w:rsid w:val="00344784"/>
    <w:rsid w:val="00344F29"/>
    <w:rsid w:val="003476A8"/>
    <w:rsid w:val="00350BB7"/>
    <w:rsid w:val="00353336"/>
    <w:rsid w:val="00357D27"/>
    <w:rsid w:val="00360683"/>
    <w:rsid w:val="00361988"/>
    <w:rsid w:val="00362399"/>
    <w:rsid w:val="00362B6F"/>
    <w:rsid w:val="00364728"/>
    <w:rsid w:val="00366880"/>
    <w:rsid w:val="003678A6"/>
    <w:rsid w:val="00367992"/>
    <w:rsid w:val="00367A34"/>
    <w:rsid w:val="00370661"/>
    <w:rsid w:val="00370D7C"/>
    <w:rsid w:val="00371B5B"/>
    <w:rsid w:val="003739DE"/>
    <w:rsid w:val="003814D5"/>
    <w:rsid w:val="003819CA"/>
    <w:rsid w:val="00383DA2"/>
    <w:rsid w:val="003856DD"/>
    <w:rsid w:val="00385BF4"/>
    <w:rsid w:val="003915EA"/>
    <w:rsid w:val="00391FC9"/>
    <w:rsid w:val="0039269D"/>
    <w:rsid w:val="003973E6"/>
    <w:rsid w:val="003A1FDB"/>
    <w:rsid w:val="003A22D1"/>
    <w:rsid w:val="003A7318"/>
    <w:rsid w:val="003B4F8D"/>
    <w:rsid w:val="003B4FC3"/>
    <w:rsid w:val="003B5BE4"/>
    <w:rsid w:val="003B650C"/>
    <w:rsid w:val="003B711D"/>
    <w:rsid w:val="003B7357"/>
    <w:rsid w:val="003C09DE"/>
    <w:rsid w:val="003C14B3"/>
    <w:rsid w:val="003C1F5D"/>
    <w:rsid w:val="003C2303"/>
    <w:rsid w:val="003C31B5"/>
    <w:rsid w:val="003C6339"/>
    <w:rsid w:val="003D0378"/>
    <w:rsid w:val="003D1B6C"/>
    <w:rsid w:val="003D1D27"/>
    <w:rsid w:val="003D3FF0"/>
    <w:rsid w:val="003D4550"/>
    <w:rsid w:val="003D476A"/>
    <w:rsid w:val="003D4C23"/>
    <w:rsid w:val="003D5F0B"/>
    <w:rsid w:val="003E2392"/>
    <w:rsid w:val="003E4A84"/>
    <w:rsid w:val="003E7545"/>
    <w:rsid w:val="003F32AC"/>
    <w:rsid w:val="003F355F"/>
    <w:rsid w:val="003F5329"/>
    <w:rsid w:val="003F7BDF"/>
    <w:rsid w:val="004006E0"/>
    <w:rsid w:val="00401D11"/>
    <w:rsid w:val="00405666"/>
    <w:rsid w:val="00406448"/>
    <w:rsid w:val="004064C4"/>
    <w:rsid w:val="00407450"/>
    <w:rsid w:val="00411A3C"/>
    <w:rsid w:val="00412057"/>
    <w:rsid w:val="0041268C"/>
    <w:rsid w:val="0041447D"/>
    <w:rsid w:val="004166D2"/>
    <w:rsid w:val="00416D80"/>
    <w:rsid w:val="00417500"/>
    <w:rsid w:val="00417646"/>
    <w:rsid w:val="0042084C"/>
    <w:rsid w:val="00421386"/>
    <w:rsid w:val="00421D8A"/>
    <w:rsid w:val="00422247"/>
    <w:rsid w:val="00425AFB"/>
    <w:rsid w:val="00425E03"/>
    <w:rsid w:val="004262D4"/>
    <w:rsid w:val="00426B33"/>
    <w:rsid w:val="00426C38"/>
    <w:rsid w:val="004303DF"/>
    <w:rsid w:val="004306AB"/>
    <w:rsid w:val="004308E8"/>
    <w:rsid w:val="004319C1"/>
    <w:rsid w:val="0043219C"/>
    <w:rsid w:val="00432D47"/>
    <w:rsid w:val="00434953"/>
    <w:rsid w:val="00434C0F"/>
    <w:rsid w:val="00435C7A"/>
    <w:rsid w:val="004420BE"/>
    <w:rsid w:val="004426C1"/>
    <w:rsid w:val="00442909"/>
    <w:rsid w:val="00443AAE"/>
    <w:rsid w:val="00446054"/>
    <w:rsid w:val="00446063"/>
    <w:rsid w:val="00446084"/>
    <w:rsid w:val="004468C7"/>
    <w:rsid w:val="00446C9E"/>
    <w:rsid w:val="004474C3"/>
    <w:rsid w:val="0045004B"/>
    <w:rsid w:val="00450C5E"/>
    <w:rsid w:val="00452A6C"/>
    <w:rsid w:val="00456051"/>
    <w:rsid w:val="004564A2"/>
    <w:rsid w:val="004568C9"/>
    <w:rsid w:val="00460B55"/>
    <w:rsid w:val="00462BC1"/>
    <w:rsid w:val="00463086"/>
    <w:rsid w:val="00464718"/>
    <w:rsid w:val="00464F97"/>
    <w:rsid w:val="0046527F"/>
    <w:rsid w:val="004725E3"/>
    <w:rsid w:val="00472866"/>
    <w:rsid w:val="00476961"/>
    <w:rsid w:val="00476EFA"/>
    <w:rsid w:val="00476F17"/>
    <w:rsid w:val="00477F92"/>
    <w:rsid w:val="00481ABA"/>
    <w:rsid w:val="00482FF9"/>
    <w:rsid w:val="00483396"/>
    <w:rsid w:val="00483FC0"/>
    <w:rsid w:val="00484510"/>
    <w:rsid w:val="00485902"/>
    <w:rsid w:val="00485994"/>
    <w:rsid w:val="00486677"/>
    <w:rsid w:val="00486A81"/>
    <w:rsid w:val="00486BAB"/>
    <w:rsid w:val="004870BE"/>
    <w:rsid w:val="0049003E"/>
    <w:rsid w:val="00490247"/>
    <w:rsid w:val="0049081B"/>
    <w:rsid w:val="00491356"/>
    <w:rsid w:val="004947F8"/>
    <w:rsid w:val="00495C91"/>
    <w:rsid w:val="004A0A11"/>
    <w:rsid w:val="004A0F13"/>
    <w:rsid w:val="004A147A"/>
    <w:rsid w:val="004A4618"/>
    <w:rsid w:val="004B154D"/>
    <w:rsid w:val="004B2E07"/>
    <w:rsid w:val="004B46C7"/>
    <w:rsid w:val="004B4C8C"/>
    <w:rsid w:val="004B6626"/>
    <w:rsid w:val="004B6E7A"/>
    <w:rsid w:val="004B6EC1"/>
    <w:rsid w:val="004B75D0"/>
    <w:rsid w:val="004C0191"/>
    <w:rsid w:val="004C1202"/>
    <w:rsid w:val="004C3193"/>
    <w:rsid w:val="004C3E66"/>
    <w:rsid w:val="004C7BD8"/>
    <w:rsid w:val="004D098F"/>
    <w:rsid w:val="004D1BCC"/>
    <w:rsid w:val="004D2B99"/>
    <w:rsid w:val="004D3B34"/>
    <w:rsid w:val="004D3DA0"/>
    <w:rsid w:val="004D4A5A"/>
    <w:rsid w:val="004D4AA5"/>
    <w:rsid w:val="004D4D09"/>
    <w:rsid w:val="004D5075"/>
    <w:rsid w:val="004D6649"/>
    <w:rsid w:val="004D6A4E"/>
    <w:rsid w:val="004D6D08"/>
    <w:rsid w:val="004D6F3B"/>
    <w:rsid w:val="004D7AEE"/>
    <w:rsid w:val="004D7B4C"/>
    <w:rsid w:val="004E07E1"/>
    <w:rsid w:val="004E0C35"/>
    <w:rsid w:val="004E312B"/>
    <w:rsid w:val="004E3CF4"/>
    <w:rsid w:val="004F1F7C"/>
    <w:rsid w:val="004F2DDF"/>
    <w:rsid w:val="004F5A3F"/>
    <w:rsid w:val="004F66D9"/>
    <w:rsid w:val="004F7298"/>
    <w:rsid w:val="005000BA"/>
    <w:rsid w:val="00500369"/>
    <w:rsid w:val="0050131D"/>
    <w:rsid w:val="005038A8"/>
    <w:rsid w:val="0050392C"/>
    <w:rsid w:val="00504106"/>
    <w:rsid w:val="00505A8B"/>
    <w:rsid w:val="00507EF9"/>
    <w:rsid w:val="00510332"/>
    <w:rsid w:val="00510D87"/>
    <w:rsid w:val="00511D1E"/>
    <w:rsid w:val="00512C5E"/>
    <w:rsid w:val="00513491"/>
    <w:rsid w:val="00515FB5"/>
    <w:rsid w:val="005171C1"/>
    <w:rsid w:val="0052016B"/>
    <w:rsid w:val="00520665"/>
    <w:rsid w:val="00521787"/>
    <w:rsid w:val="00521ADC"/>
    <w:rsid w:val="00522326"/>
    <w:rsid w:val="00522908"/>
    <w:rsid w:val="00523A39"/>
    <w:rsid w:val="00524FA7"/>
    <w:rsid w:val="00526FD8"/>
    <w:rsid w:val="00532370"/>
    <w:rsid w:val="00532C4D"/>
    <w:rsid w:val="005346F9"/>
    <w:rsid w:val="00535069"/>
    <w:rsid w:val="0054144E"/>
    <w:rsid w:val="005418BB"/>
    <w:rsid w:val="0054484A"/>
    <w:rsid w:val="00553866"/>
    <w:rsid w:val="0055386D"/>
    <w:rsid w:val="00553AF8"/>
    <w:rsid w:val="0055724C"/>
    <w:rsid w:val="005577E4"/>
    <w:rsid w:val="0056186D"/>
    <w:rsid w:val="00561E29"/>
    <w:rsid w:val="00562C93"/>
    <w:rsid w:val="00563B62"/>
    <w:rsid w:val="005652C1"/>
    <w:rsid w:val="00565D93"/>
    <w:rsid w:val="005664F0"/>
    <w:rsid w:val="005666CC"/>
    <w:rsid w:val="00566D72"/>
    <w:rsid w:val="00570D3B"/>
    <w:rsid w:val="00570F9A"/>
    <w:rsid w:val="00574BBE"/>
    <w:rsid w:val="00575E1E"/>
    <w:rsid w:val="00577638"/>
    <w:rsid w:val="00580632"/>
    <w:rsid w:val="005809D3"/>
    <w:rsid w:val="005826D3"/>
    <w:rsid w:val="005827C7"/>
    <w:rsid w:val="005837C7"/>
    <w:rsid w:val="00584902"/>
    <w:rsid w:val="005862A5"/>
    <w:rsid w:val="00586C3E"/>
    <w:rsid w:val="005878B0"/>
    <w:rsid w:val="00590E13"/>
    <w:rsid w:val="00590FD2"/>
    <w:rsid w:val="005925F4"/>
    <w:rsid w:val="00592DD6"/>
    <w:rsid w:val="00593F07"/>
    <w:rsid w:val="00596011"/>
    <w:rsid w:val="00597100"/>
    <w:rsid w:val="005A07B0"/>
    <w:rsid w:val="005A10A1"/>
    <w:rsid w:val="005A2773"/>
    <w:rsid w:val="005A418C"/>
    <w:rsid w:val="005A5C85"/>
    <w:rsid w:val="005A6A9B"/>
    <w:rsid w:val="005B0220"/>
    <w:rsid w:val="005B0388"/>
    <w:rsid w:val="005B040C"/>
    <w:rsid w:val="005B1362"/>
    <w:rsid w:val="005B32F2"/>
    <w:rsid w:val="005B4612"/>
    <w:rsid w:val="005B632B"/>
    <w:rsid w:val="005C066C"/>
    <w:rsid w:val="005C0880"/>
    <w:rsid w:val="005C1E7B"/>
    <w:rsid w:val="005C4EDB"/>
    <w:rsid w:val="005C5CF7"/>
    <w:rsid w:val="005D02B8"/>
    <w:rsid w:val="005D0445"/>
    <w:rsid w:val="005D2FDE"/>
    <w:rsid w:val="005D3431"/>
    <w:rsid w:val="005D4BBD"/>
    <w:rsid w:val="005D6A2C"/>
    <w:rsid w:val="005D6F0A"/>
    <w:rsid w:val="005E2190"/>
    <w:rsid w:val="005E4BE2"/>
    <w:rsid w:val="005E4E4D"/>
    <w:rsid w:val="005E59DF"/>
    <w:rsid w:val="005E6C02"/>
    <w:rsid w:val="005F009B"/>
    <w:rsid w:val="005F0FCF"/>
    <w:rsid w:val="005F4452"/>
    <w:rsid w:val="005F5531"/>
    <w:rsid w:val="005F5E95"/>
    <w:rsid w:val="005F61D0"/>
    <w:rsid w:val="005F6CFE"/>
    <w:rsid w:val="005F7E89"/>
    <w:rsid w:val="00600862"/>
    <w:rsid w:val="006017EA"/>
    <w:rsid w:val="00604A17"/>
    <w:rsid w:val="00606689"/>
    <w:rsid w:val="00607939"/>
    <w:rsid w:val="006108AF"/>
    <w:rsid w:val="006119A7"/>
    <w:rsid w:val="00613C40"/>
    <w:rsid w:val="006147A2"/>
    <w:rsid w:val="0061515F"/>
    <w:rsid w:val="006152B6"/>
    <w:rsid w:val="0061683E"/>
    <w:rsid w:val="0062219B"/>
    <w:rsid w:val="0062288B"/>
    <w:rsid w:val="00622A67"/>
    <w:rsid w:val="00622BE9"/>
    <w:rsid w:val="00622C6F"/>
    <w:rsid w:val="00622CB4"/>
    <w:rsid w:val="00623582"/>
    <w:rsid w:val="0062363E"/>
    <w:rsid w:val="00624442"/>
    <w:rsid w:val="006250FC"/>
    <w:rsid w:val="00632E3C"/>
    <w:rsid w:val="00632EB8"/>
    <w:rsid w:val="00634330"/>
    <w:rsid w:val="006349DC"/>
    <w:rsid w:val="006367F5"/>
    <w:rsid w:val="00636EF0"/>
    <w:rsid w:val="00637BC2"/>
    <w:rsid w:val="0064000C"/>
    <w:rsid w:val="00641ACD"/>
    <w:rsid w:val="00642D78"/>
    <w:rsid w:val="006432D9"/>
    <w:rsid w:val="006440D3"/>
    <w:rsid w:val="006465BC"/>
    <w:rsid w:val="0064666A"/>
    <w:rsid w:val="00646CB0"/>
    <w:rsid w:val="00655B95"/>
    <w:rsid w:val="00660288"/>
    <w:rsid w:val="00660B43"/>
    <w:rsid w:val="00661C27"/>
    <w:rsid w:val="0066278F"/>
    <w:rsid w:val="006630BE"/>
    <w:rsid w:val="0066449F"/>
    <w:rsid w:val="006651B8"/>
    <w:rsid w:val="00670034"/>
    <w:rsid w:val="006708DB"/>
    <w:rsid w:val="006745B7"/>
    <w:rsid w:val="00674983"/>
    <w:rsid w:val="00675BCB"/>
    <w:rsid w:val="006802D5"/>
    <w:rsid w:val="00683378"/>
    <w:rsid w:val="00683881"/>
    <w:rsid w:val="00683E71"/>
    <w:rsid w:val="00686476"/>
    <w:rsid w:val="00686C2F"/>
    <w:rsid w:val="00686F7F"/>
    <w:rsid w:val="006870ED"/>
    <w:rsid w:val="00687D25"/>
    <w:rsid w:val="00693BBF"/>
    <w:rsid w:val="006A1732"/>
    <w:rsid w:val="006A3357"/>
    <w:rsid w:val="006A51B4"/>
    <w:rsid w:val="006A51CB"/>
    <w:rsid w:val="006A53C1"/>
    <w:rsid w:val="006A67F9"/>
    <w:rsid w:val="006A6BCD"/>
    <w:rsid w:val="006A7339"/>
    <w:rsid w:val="006B1A99"/>
    <w:rsid w:val="006B20DA"/>
    <w:rsid w:val="006B2AA3"/>
    <w:rsid w:val="006B3DB2"/>
    <w:rsid w:val="006B4083"/>
    <w:rsid w:val="006B6B71"/>
    <w:rsid w:val="006B6BC5"/>
    <w:rsid w:val="006B7C08"/>
    <w:rsid w:val="006B7D3E"/>
    <w:rsid w:val="006C0E8A"/>
    <w:rsid w:val="006C294C"/>
    <w:rsid w:val="006C50EC"/>
    <w:rsid w:val="006C798E"/>
    <w:rsid w:val="006D05C8"/>
    <w:rsid w:val="006D0637"/>
    <w:rsid w:val="006D0F9D"/>
    <w:rsid w:val="006D1877"/>
    <w:rsid w:val="006D2E89"/>
    <w:rsid w:val="006D44B5"/>
    <w:rsid w:val="006E0458"/>
    <w:rsid w:val="006E135C"/>
    <w:rsid w:val="006E1F57"/>
    <w:rsid w:val="006E3C92"/>
    <w:rsid w:val="006E48F2"/>
    <w:rsid w:val="006E7A40"/>
    <w:rsid w:val="006F010A"/>
    <w:rsid w:val="006F0BF3"/>
    <w:rsid w:val="006F1103"/>
    <w:rsid w:val="006F6C6B"/>
    <w:rsid w:val="006F72E4"/>
    <w:rsid w:val="007002D2"/>
    <w:rsid w:val="00700467"/>
    <w:rsid w:val="0070092E"/>
    <w:rsid w:val="00702595"/>
    <w:rsid w:val="00702F3A"/>
    <w:rsid w:val="007041A4"/>
    <w:rsid w:val="0070562F"/>
    <w:rsid w:val="00705AE8"/>
    <w:rsid w:val="00705AED"/>
    <w:rsid w:val="00710D2B"/>
    <w:rsid w:val="0071229B"/>
    <w:rsid w:val="00715208"/>
    <w:rsid w:val="00715CD6"/>
    <w:rsid w:val="00715E56"/>
    <w:rsid w:val="0071709B"/>
    <w:rsid w:val="00722480"/>
    <w:rsid w:val="00722F0B"/>
    <w:rsid w:val="007237A2"/>
    <w:rsid w:val="0072534F"/>
    <w:rsid w:val="00732427"/>
    <w:rsid w:val="00733927"/>
    <w:rsid w:val="007356DF"/>
    <w:rsid w:val="00735BA4"/>
    <w:rsid w:val="00735FB8"/>
    <w:rsid w:val="007376A0"/>
    <w:rsid w:val="007377D6"/>
    <w:rsid w:val="0073794C"/>
    <w:rsid w:val="0074159D"/>
    <w:rsid w:val="007427ED"/>
    <w:rsid w:val="00747F3E"/>
    <w:rsid w:val="00751C8F"/>
    <w:rsid w:val="00755283"/>
    <w:rsid w:val="00755998"/>
    <w:rsid w:val="00756EBD"/>
    <w:rsid w:val="00757824"/>
    <w:rsid w:val="00760A3E"/>
    <w:rsid w:val="007641E1"/>
    <w:rsid w:val="00764DD7"/>
    <w:rsid w:val="00765408"/>
    <w:rsid w:val="00765FA8"/>
    <w:rsid w:val="007665A1"/>
    <w:rsid w:val="0076670C"/>
    <w:rsid w:val="00767655"/>
    <w:rsid w:val="0077174C"/>
    <w:rsid w:val="00771DED"/>
    <w:rsid w:val="007729CF"/>
    <w:rsid w:val="00772A32"/>
    <w:rsid w:val="00772F28"/>
    <w:rsid w:val="00773BD1"/>
    <w:rsid w:val="00776997"/>
    <w:rsid w:val="007771F1"/>
    <w:rsid w:val="0077789E"/>
    <w:rsid w:val="0078009F"/>
    <w:rsid w:val="007800FF"/>
    <w:rsid w:val="00780B44"/>
    <w:rsid w:val="00785A30"/>
    <w:rsid w:val="007863C9"/>
    <w:rsid w:val="0078689B"/>
    <w:rsid w:val="00787F94"/>
    <w:rsid w:val="00791AC5"/>
    <w:rsid w:val="007930F7"/>
    <w:rsid w:val="007931B7"/>
    <w:rsid w:val="0079451E"/>
    <w:rsid w:val="007951F5"/>
    <w:rsid w:val="00797E96"/>
    <w:rsid w:val="007A1253"/>
    <w:rsid w:val="007A1561"/>
    <w:rsid w:val="007A2790"/>
    <w:rsid w:val="007A43A0"/>
    <w:rsid w:val="007A5B56"/>
    <w:rsid w:val="007A6401"/>
    <w:rsid w:val="007A7553"/>
    <w:rsid w:val="007B0EFB"/>
    <w:rsid w:val="007B11F3"/>
    <w:rsid w:val="007B2D22"/>
    <w:rsid w:val="007B319E"/>
    <w:rsid w:val="007B49E5"/>
    <w:rsid w:val="007B5E8F"/>
    <w:rsid w:val="007B73F7"/>
    <w:rsid w:val="007B7FE4"/>
    <w:rsid w:val="007C08FD"/>
    <w:rsid w:val="007C1182"/>
    <w:rsid w:val="007C40CD"/>
    <w:rsid w:val="007C5ED4"/>
    <w:rsid w:val="007C6C0A"/>
    <w:rsid w:val="007D03FB"/>
    <w:rsid w:val="007D1106"/>
    <w:rsid w:val="007D14C8"/>
    <w:rsid w:val="007D462C"/>
    <w:rsid w:val="007D471D"/>
    <w:rsid w:val="007D4B17"/>
    <w:rsid w:val="007D4CF2"/>
    <w:rsid w:val="007D6889"/>
    <w:rsid w:val="007D7EBE"/>
    <w:rsid w:val="007E026C"/>
    <w:rsid w:val="007E412C"/>
    <w:rsid w:val="007E43ED"/>
    <w:rsid w:val="007E4EED"/>
    <w:rsid w:val="007E554B"/>
    <w:rsid w:val="007E682C"/>
    <w:rsid w:val="007E7EFE"/>
    <w:rsid w:val="007F10F6"/>
    <w:rsid w:val="007F33E6"/>
    <w:rsid w:val="007F4308"/>
    <w:rsid w:val="007F67EA"/>
    <w:rsid w:val="007F691E"/>
    <w:rsid w:val="007F766B"/>
    <w:rsid w:val="007F76A0"/>
    <w:rsid w:val="008015C0"/>
    <w:rsid w:val="00802457"/>
    <w:rsid w:val="00802B3F"/>
    <w:rsid w:val="00805209"/>
    <w:rsid w:val="008111CB"/>
    <w:rsid w:val="0081135D"/>
    <w:rsid w:val="00812147"/>
    <w:rsid w:val="00813EB2"/>
    <w:rsid w:val="008142C3"/>
    <w:rsid w:val="00816C7C"/>
    <w:rsid w:val="00820446"/>
    <w:rsid w:val="008218D0"/>
    <w:rsid w:val="0082213E"/>
    <w:rsid w:val="00823D32"/>
    <w:rsid w:val="008256B4"/>
    <w:rsid w:val="008313F1"/>
    <w:rsid w:val="00835C08"/>
    <w:rsid w:val="008363C9"/>
    <w:rsid w:val="00836579"/>
    <w:rsid w:val="0084107E"/>
    <w:rsid w:val="00844E3C"/>
    <w:rsid w:val="0084676F"/>
    <w:rsid w:val="00846BF0"/>
    <w:rsid w:val="008501D2"/>
    <w:rsid w:val="00852E3F"/>
    <w:rsid w:val="00854BEC"/>
    <w:rsid w:val="008561B4"/>
    <w:rsid w:val="00856355"/>
    <w:rsid w:val="00862E78"/>
    <w:rsid w:val="008638E3"/>
    <w:rsid w:val="0086436C"/>
    <w:rsid w:val="00865044"/>
    <w:rsid w:val="00865AB8"/>
    <w:rsid w:val="00865D87"/>
    <w:rsid w:val="00866151"/>
    <w:rsid w:val="008665A7"/>
    <w:rsid w:val="00866755"/>
    <w:rsid w:val="00870883"/>
    <w:rsid w:val="008713B7"/>
    <w:rsid w:val="0087175B"/>
    <w:rsid w:val="00872DC4"/>
    <w:rsid w:val="0087338D"/>
    <w:rsid w:val="00874A3D"/>
    <w:rsid w:val="00880EBA"/>
    <w:rsid w:val="00881843"/>
    <w:rsid w:val="008824C2"/>
    <w:rsid w:val="00886617"/>
    <w:rsid w:val="00886B0B"/>
    <w:rsid w:val="00887ACE"/>
    <w:rsid w:val="00890F9E"/>
    <w:rsid w:val="00892306"/>
    <w:rsid w:val="00892BA3"/>
    <w:rsid w:val="00892FEE"/>
    <w:rsid w:val="00895A74"/>
    <w:rsid w:val="00897E35"/>
    <w:rsid w:val="008A0158"/>
    <w:rsid w:val="008A15D3"/>
    <w:rsid w:val="008A1FBB"/>
    <w:rsid w:val="008A33D2"/>
    <w:rsid w:val="008A34D7"/>
    <w:rsid w:val="008A55AB"/>
    <w:rsid w:val="008A7201"/>
    <w:rsid w:val="008B11AF"/>
    <w:rsid w:val="008B30C7"/>
    <w:rsid w:val="008B45D2"/>
    <w:rsid w:val="008C15B2"/>
    <w:rsid w:val="008C2239"/>
    <w:rsid w:val="008C3E79"/>
    <w:rsid w:val="008C4665"/>
    <w:rsid w:val="008C65AA"/>
    <w:rsid w:val="008C6928"/>
    <w:rsid w:val="008C6ED0"/>
    <w:rsid w:val="008D0A85"/>
    <w:rsid w:val="008D37CE"/>
    <w:rsid w:val="008D5198"/>
    <w:rsid w:val="008D5F27"/>
    <w:rsid w:val="008D6016"/>
    <w:rsid w:val="008E2F86"/>
    <w:rsid w:val="008E3F85"/>
    <w:rsid w:val="008E4B38"/>
    <w:rsid w:val="008E5D5A"/>
    <w:rsid w:val="008E638F"/>
    <w:rsid w:val="008F093C"/>
    <w:rsid w:val="008F0E04"/>
    <w:rsid w:val="008F7B3E"/>
    <w:rsid w:val="00902C03"/>
    <w:rsid w:val="009032C6"/>
    <w:rsid w:val="00905676"/>
    <w:rsid w:val="00907092"/>
    <w:rsid w:val="00907C38"/>
    <w:rsid w:val="00907F43"/>
    <w:rsid w:val="00910925"/>
    <w:rsid w:val="0091145D"/>
    <w:rsid w:val="0091152E"/>
    <w:rsid w:val="00911BA9"/>
    <w:rsid w:val="00911D4A"/>
    <w:rsid w:val="00915B9C"/>
    <w:rsid w:val="009167C1"/>
    <w:rsid w:val="009171A7"/>
    <w:rsid w:val="00923023"/>
    <w:rsid w:val="009248B9"/>
    <w:rsid w:val="00925476"/>
    <w:rsid w:val="00926FC0"/>
    <w:rsid w:val="00927B0E"/>
    <w:rsid w:val="00930B99"/>
    <w:rsid w:val="00931348"/>
    <w:rsid w:val="00931DF9"/>
    <w:rsid w:val="00932F5E"/>
    <w:rsid w:val="0093346F"/>
    <w:rsid w:val="009350B1"/>
    <w:rsid w:val="00935460"/>
    <w:rsid w:val="00935E53"/>
    <w:rsid w:val="00937FE1"/>
    <w:rsid w:val="00944033"/>
    <w:rsid w:val="00944F16"/>
    <w:rsid w:val="009450B4"/>
    <w:rsid w:val="0095048D"/>
    <w:rsid w:val="00950E4D"/>
    <w:rsid w:val="0095425E"/>
    <w:rsid w:val="00954828"/>
    <w:rsid w:val="00955042"/>
    <w:rsid w:val="009562F8"/>
    <w:rsid w:val="00956DFF"/>
    <w:rsid w:val="00956F86"/>
    <w:rsid w:val="00960679"/>
    <w:rsid w:val="00964376"/>
    <w:rsid w:val="00965E40"/>
    <w:rsid w:val="00967A39"/>
    <w:rsid w:val="00967EA3"/>
    <w:rsid w:val="0097179A"/>
    <w:rsid w:val="009733C8"/>
    <w:rsid w:val="00973C99"/>
    <w:rsid w:val="00974185"/>
    <w:rsid w:val="009757A2"/>
    <w:rsid w:val="009759B4"/>
    <w:rsid w:val="009773EF"/>
    <w:rsid w:val="00977836"/>
    <w:rsid w:val="009806AD"/>
    <w:rsid w:val="00982AE8"/>
    <w:rsid w:val="00985E32"/>
    <w:rsid w:val="009876EC"/>
    <w:rsid w:val="00987EDD"/>
    <w:rsid w:val="00994F87"/>
    <w:rsid w:val="009A0BCC"/>
    <w:rsid w:val="009A1693"/>
    <w:rsid w:val="009A31C8"/>
    <w:rsid w:val="009A3CBB"/>
    <w:rsid w:val="009A7782"/>
    <w:rsid w:val="009B19C7"/>
    <w:rsid w:val="009B1F71"/>
    <w:rsid w:val="009B4AC7"/>
    <w:rsid w:val="009B4AE2"/>
    <w:rsid w:val="009B4F6A"/>
    <w:rsid w:val="009B5FD4"/>
    <w:rsid w:val="009B6D4B"/>
    <w:rsid w:val="009C127F"/>
    <w:rsid w:val="009C13DF"/>
    <w:rsid w:val="009C22C6"/>
    <w:rsid w:val="009C2A0F"/>
    <w:rsid w:val="009C47A3"/>
    <w:rsid w:val="009C6733"/>
    <w:rsid w:val="009C7032"/>
    <w:rsid w:val="009D68ED"/>
    <w:rsid w:val="009D7149"/>
    <w:rsid w:val="009D72E7"/>
    <w:rsid w:val="009D7BF4"/>
    <w:rsid w:val="009E1D49"/>
    <w:rsid w:val="009E217C"/>
    <w:rsid w:val="009E43CD"/>
    <w:rsid w:val="009E7110"/>
    <w:rsid w:val="009E7401"/>
    <w:rsid w:val="009F09FA"/>
    <w:rsid w:val="009F16FB"/>
    <w:rsid w:val="009F75C1"/>
    <w:rsid w:val="00A02908"/>
    <w:rsid w:val="00A03244"/>
    <w:rsid w:val="00A05220"/>
    <w:rsid w:val="00A05C43"/>
    <w:rsid w:val="00A0608F"/>
    <w:rsid w:val="00A1059A"/>
    <w:rsid w:val="00A10606"/>
    <w:rsid w:val="00A10D67"/>
    <w:rsid w:val="00A11D0A"/>
    <w:rsid w:val="00A129D7"/>
    <w:rsid w:val="00A13EF7"/>
    <w:rsid w:val="00A1427C"/>
    <w:rsid w:val="00A15485"/>
    <w:rsid w:val="00A155D5"/>
    <w:rsid w:val="00A169C8"/>
    <w:rsid w:val="00A16CAA"/>
    <w:rsid w:val="00A17A67"/>
    <w:rsid w:val="00A210F1"/>
    <w:rsid w:val="00A21DED"/>
    <w:rsid w:val="00A24606"/>
    <w:rsid w:val="00A24698"/>
    <w:rsid w:val="00A2494E"/>
    <w:rsid w:val="00A2563A"/>
    <w:rsid w:val="00A25CD0"/>
    <w:rsid w:val="00A26428"/>
    <w:rsid w:val="00A27D72"/>
    <w:rsid w:val="00A316EF"/>
    <w:rsid w:val="00A33C1E"/>
    <w:rsid w:val="00A34F6B"/>
    <w:rsid w:val="00A370F1"/>
    <w:rsid w:val="00A37BD5"/>
    <w:rsid w:val="00A42158"/>
    <w:rsid w:val="00A425FD"/>
    <w:rsid w:val="00A43C5C"/>
    <w:rsid w:val="00A446AF"/>
    <w:rsid w:val="00A44A29"/>
    <w:rsid w:val="00A451E3"/>
    <w:rsid w:val="00A45668"/>
    <w:rsid w:val="00A47F74"/>
    <w:rsid w:val="00A5206A"/>
    <w:rsid w:val="00A5208D"/>
    <w:rsid w:val="00A532D2"/>
    <w:rsid w:val="00A53B5B"/>
    <w:rsid w:val="00A54387"/>
    <w:rsid w:val="00A54BC2"/>
    <w:rsid w:val="00A572B4"/>
    <w:rsid w:val="00A60D13"/>
    <w:rsid w:val="00A63043"/>
    <w:rsid w:val="00A642DC"/>
    <w:rsid w:val="00A65412"/>
    <w:rsid w:val="00A66051"/>
    <w:rsid w:val="00A672EA"/>
    <w:rsid w:val="00A673EA"/>
    <w:rsid w:val="00A7290B"/>
    <w:rsid w:val="00A738BD"/>
    <w:rsid w:val="00A7565F"/>
    <w:rsid w:val="00A81AAA"/>
    <w:rsid w:val="00A81C5A"/>
    <w:rsid w:val="00A832E0"/>
    <w:rsid w:val="00A8596C"/>
    <w:rsid w:val="00A86063"/>
    <w:rsid w:val="00A862F2"/>
    <w:rsid w:val="00A879BE"/>
    <w:rsid w:val="00A879E7"/>
    <w:rsid w:val="00A92224"/>
    <w:rsid w:val="00A93077"/>
    <w:rsid w:val="00A936C9"/>
    <w:rsid w:val="00A958F1"/>
    <w:rsid w:val="00AA0FA4"/>
    <w:rsid w:val="00AA1F3F"/>
    <w:rsid w:val="00AA1FD5"/>
    <w:rsid w:val="00AA5378"/>
    <w:rsid w:val="00AA64BD"/>
    <w:rsid w:val="00AA72D2"/>
    <w:rsid w:val="00AB07A4"/>
    <w:rsid w:val="00AB4B30"/>
    <w:rsid w:val="00AC2B9D"/>
    <w:rsid w:val="00AC5844"/>
    <w:rsid w:val="00AD176F"/>
    <w:rsid w:val="00AD2668"/>
    <w:rsid w:val="00AD2CAA"/>
    <w:rsid w:val="00AD3D76"/>
    <w:rsid w:val="00AD424A"/>
    <w:rsid w:val="00AD6315"/>
    <w:rsid w:val="00AD7E3D"/>
    <w:rsid w:val="00AE14F7"/>
    <w:rsid w:val="00AE1745"/>
    <w:rsid w:val="00AE5D64"/>
    <w:rsid w:val="00AF0BDB"/>
    <w:rsid w:val="00AF14F8"/>
    <w:rsid w:val="00AF71B5"/>
    <w:rsid w:val="00B02BCB"/>
    <w:rsid w:val="00B1211F"/>
    <w:rsid w:val="00B12A21"/>
    <w:rsid w:val="00B1641C"/>
    <w:rsid w:val="00B166EB"/>
    <w:rsid w:val="00B21887"/>
    <w:rsid w:val="00B22E80"/>
    <w:rsid w:val="00B24B95"/>
    <w:rsid w:val="00B25628"/>
    <w:rsid w:val="00B26098"/>
    <w:rsid w:val="00B26707"/>
    <w:rsid w:val="00B267F6"/>
    <w:rsid w:val="00B26BBB"/>
    <w:rsid w:val="00B2770E"/>
    <w:rsid w:val="00B31475"/>
    <w:rsid w:val="00B337F4"/>
    <w:rsid w:val="00B35AC8"/>
    <w:rsid w:val="00B35FE1"/>
    <w:rsid w:val="00B36465"/>
    <w:rsid w:val="00B41F7E"/>
    <w:rsid w:val="00B42516"/>
    <w:rsid w:val="00B45C8E"/>
    <w:rsid w:val="00B46ACA"/>
    <w:rsid w:val="00B479A3"/>
    <w:rsid w:val="00B47CA7"/>
    <w:rsid w:val="00B50EB5"/>
    <w:rsid w:val="00B51045"/>
    <w:rsid w:val="00B557A4"/>
    <w:rsid w:val="00B5728D"/>
    <w:rsid w:val="00B617BF"/>
    <w:rsid w:val="00B62606"/>
    <w:rsid w:val="00B62983"/>
    <w:rsid w:val="00B665CB"/>
    <w:rsid w:val="00B709AA"/>
    <w:rsid w:val="00B71226"/>
    <w:rsid w:val="00B73F2A"/>
    <w:rsid w:val="00B7707E"/>
    <w:rsid w:val="00B779DD"/>
    <w:rsid w:val="00B86427"/>
    <w:rsid w:val="00B872FF"/>
    <w:rsid w:val="00B8744C"/>
    <w:rsid w:val="00B92FB7"/>
    <w:rsid w:val="00BA304E"/>
    <w:rsid w:val="00BA7029"/>
    <w:rsid w:val="00BA743A"/>
    <w:rsid w:val="00BB3B24"/>
    <w:rsid w:val="00BB4041"/>
    <w:rsid w:val="00BB502B"/>
    <w:rsid w:val="00BB541B"/>
    <w:rsid w:val="00BB605A"/>
    <w:rsid w:val="00BB68D8"/>
    <w:rsid w:val="00BB69C9"/>
    <w:rsid w:val="00BB6C0C"/>
    <w:rsid w:val="00BC166F"/>
    <w:rsid w:val="00BC1B9F"/>
    <w:rsid w:val="00BC2834"/>
    <w:rsid w:val="00BC2DA7"/>
    <w:rsid w:val="00BC5597"/>
    <w:rsid w:val="00BC66AF"/>
    <w:rsid w:val="00BC6EFE"/>
    <w:rsid w:val="00BC7278"/>
    <w:rsid w:val="00BD15A4"/>
    <w:rsid w:val="00BD32CE"/>
    <w:rsid w:val="00BD62E5"/>
    <w:rsid w:val="00BE0FD4"/>
    <w:rsid w:val="00BE22C7"/>
    <w:rsid w:val="00BE2E2C"/>
    <w:rsid w:val="00BF1D9D"/>
    <w:rsid w:val="00BF2734"/>
    <w:rsid w:val="00BF2C9B"/>
    <w:rsid w:val="00BF3CB7"/>
    <w:rsid w:val="00BF4532"/>
    <w:rsid w:val="00BF52E9"/>
    <w:rsid w:val="00BF55A9"/>
    <w:rsid w:val="00BF7846"/>
    <w:rsid w:val="00C01DF8"/>
    <w:rsid w:val="00C02823"/>
    <w:rsid w:val="00C031C2"/>
    <w:rsid w:val="00C0450E"/>
    <w:rsid w:val="00C051CC"/>
    <w:rsid w:val="00C058C1"/>
    <w:rsid w:val="00C06050"/>
    <w:rsid w:val="00C070DF"/>
    <w:rsid w:val="00C10400"/>
    <w:rsid w:val="00C11C18"/>
    <w:rsid w:val="00C13111"/>
    <w:rsid w:val="00C147EB"/>
    <w:rsid w:val="00C14CF7"/>
    <w:rsid w:val="00C156E6"/>
    <w:rsid w:val="00C15767"/>
    <w:rsid w:val="00C15C5F"/>
    <w:rsid w:val="00C15D11"/>
    <w:rsid w:val="00C15E87"/>
    <w:rsid w:val="00C168E7"/>
    <w:rsid w:val="00C17479"/>
    <w:rsid w:val="00C17674"/>
    <w:rsid w:val="00C177B3"/>
    <w:rsid w:val="00C203DC"/>
    <w:rsid w:val="00C2072B"/>
    <w:rsid w:val="00C20C6A"/>
    <w:rsid w:val="00C20E44"/>
    <w:rsid w:val="00C22948"/>
    <w:rsid w:val="00C23812"/>
    <w:rsid w:val="00C23BCB"/>
    <w:rsid w:val="00C243E5"/>
    <w:rsid w:val="00C25CB1"/>
    <w:rsid w:val="00C26B48"/>
    <w:rsid w:val="00C26B5A"/>
    <w:rsid w:val="00C31B53"/>
    <w:rsid w:val="00C31DBC"/>
    <w:rsid w:val="00C32880"/>
    <w:rsid w:val="00C35FB3"/>
    <w:rsid w:val="00C36249"/>
    <w:rsid w:val="00C37D84"/>
    <w:rsid w:val="00C42C4C"/>
    <w:rsid w:val="00C45A4D"/>
    <w:rsid w:val="00C4659A"/>
    <w:rsid w:val="00C478A5"/>
    <w:rsid w:val="00C50E7B"/>
    <w:rsid w:val="00C5143E"/>
    <w:rsid w:val="00C52525"/>
    <w:rsid w:val="00C52AD2"/>
    <w:rsid w:val="00C53535"/>
    <w:rsid w:val="00C53A64"/>
    <w:rsid w:val="00C5478E"/>
    <w:rsid w:val="00C5576F"/>
    <w:rsid w:val="00C56421"/>
    <w:rsid w:val="00C56DA1"/>
    <w:rsid w:val="00C574C2"/>
    <w:rsid w:val="00C61916"/>
    <w:rsid w:val="00C62C8A"/>
    <w:rsid w:val="00C62FA2"/>
    <w:rsid w:val="00C6362B"/>
    <w:rsid w:val="00C648AB"/>
    <w:rsid w:val="00C66333"/>
    <w:rsid w:val="00C67222"/>
    <w:rsid w:val="00C6755C"/>
    <w:rsid w:val="00C72391"/>
    <w:rsid w:val="00C73AC5"/>
    <w:rsid w:val="00C75ADD"/>
    <w:rsid w:val="00C7695E"/>
    <w:rsid w:val="00C76C74"/>
    <w:rsid w:val="00C7743D"/>
    <w:rsid w:val="00C80052"/>
    <w:rsid w:val="00C8173E"/>
    <w:rsid w:val="00C817AE"/>
    <w:rsid w:val="00C82271"/>
    <w:rsid w:val="00C82497"/>
    <w:rsid w:val="00C84DF5"/>
    <w:rsid w:val="00C906D0"/>
    <w:rsid w:val="00C90B5E"/>
    <w:rsid w:val="00C937CD"/>
    <w:rsid w:val="00C97B72"/>
    <w:rsid w:val="00CA25C0"/>
    <w:rsid w:val="00CA2957"/>
    <w:rsid w:val="00CA3131"/>
    <w:rsid w:val="00CA5480"/>
    <w:rsid w:val="00CA7AE7"/>
    <w:rsid w:val="00CB096F"/>
    <w:rsid w:val="00CB0BC4"/>
    <w:rsid w:val="00CB1AA8"/>
    <w:rsid w:val="00CB3761"/>
    <w:rsid w:val="00CB3BEF"/>
    <w:rsid w:val="00CB7F3A"/>
    <w:rsid w:val="00CC0E03"/>
    <w:rsid w:val="00CC1061"/>
    <w:rsid w:val="00CC1135"/>
    <w:rsid w:val="00CC18DE"/>
    <w:rsid w:val="00CC45AF"/>
    <w:rsid w:val="00CC753B"/>
    <w:rsid w:val="00CD08D3"/>
    <w:rsid w:val="00CD2191"/>
    <w:rsid w:val="00CD35C2"/>
    <w:rsid w:val="00CD44FF"/>
    <w:rsid w:val="00CD5B66"/>
    <w:rsid w:val="00CD78BA"/>
    <w:rsid w:val="00CE013E"/>
    <w:rsid w:val="00CE15FE"/>
    <w:rsid w:val="00CE25F9"/>
    <w:rsid w:val="00CE6F3E"/>
    <w:rsid w:val="00CE7CBB"/>
    <w:rsid w:val="00CE7D04"/>
    <w:rsid w:val="00CE7D40"/>
    <w:rsid w:val="00CF14A4"/>
    <w:rsid w:val="00CF534B"/>
    <w:rsid w:val="00CF5FA3"/>
    <w:rsid w:val="00CF660D"/>
    <w:rsid w:val="00CF7C6C"/>
    <w:rsid w:val="00D01D87"/>
    <w:rsid w:val="00D03F5B"/>
    <w:rsid w:val="00D05F52"/>
    <w:rsid w:val="00D06A92"/>
    <w:rsid w:val="00D107B9"/>
    <w:rsid w:val="00D11440"/>
    <w:rsid w:val="00D13C0D"/>
    <w:rsid w:val="00D1400F"/>
    <w:rsid w:val="00D1421F"/>
    <w:rsid w:val="00D1516F"/>
    <w:rsid w:val="00D15D59"/>
    <w:rsid w:val="00D16FB6"/>
    <w:rsid w:val="00D17965"/>
    <w:rsid w:val="00D21E00"/>
    <w:rsid w:val="00D229AB"/>
    <w:rsid w:val="00D2300A"/>
    <w:rsid w:val="00D2450F"/>
    <w:rsid w:val="00D25EF0"/>
    <w:rsid w:val="00D26524"/>
    <w:rsid w:val="00D301DE"/>
    <w:rsid w:val="00D311E2"/>
    <w:rsid w:val="00D31DCD"/>
    <w:rsid w:val="00D32F87"/>
    <w:rsid w:val="00D35572"/>
    <w:rsid w:val="00D35886"/>
    <w:rsid w:val="00D366A3"/>
    <w:rsid w:val="00D369F8"/>
    <w:rsid w:val="00D41159"/>
    <w:rsid w:val="00D42406"/>
    <w:rsid w:val="00D42AE9"/>
    <w:rsid w:val="00D42DFF"/>
    <w:rsid w:val="00D43DA1"/>
    <w:rsid w:val="00D50DD0"/>
    <w:rsid w:val="00D516C0"/>
    <w:rsid w:val="00D52451"/>
    <w:rsid w:val="00D534BD"/>
    <w:rsid w:val="00D5393D"/>
    <w:rsid w:val="00D543CA"/>
    <w:rsid w:val="00D561D6"/>
    <w:rsid w:val="00D605A6"/>
    <w:rsid w:val="00D60ECD"/>
    <w:rsid w:val="00D63133"/>
    <w:rsid w:val="00D64566"/>
    <w:rsid w:val="00D64CE7"/>
    <w:rsid w:val="00D6528C"/>
    <w:rsid w:val="00D65C5C"/>
    <w:rsid w:val="00D67874"/>
    <w:rsid w:val="00D70E6D"/>
    <w:rsid w:val="00D765B0"/>
    <w:rsid w:val="00D81279"/>
    <w:rsid w:val="00D84657"/>
    <w:rsid w:val="00D856FE"/>
    <w:rsid w:val="00D91F12"/>
    <w:rsid w:val="00D92502"/>
    <w:rsid w:val="00D95C81"/>
    <w:rsid w:val="00D9621E"/>
    <w:rsid w:val="00D97ED6"/>
    <w:rsid w:val="00DA0195"/>
    <w:rsid w:val="00DA1ACD"/>
    <w:rsid w:val="00DA2D8D"/>
    <w:rsid w:val="00DA4EE9"/>
    <w:rsid w:val="00DA510D"/>
    <w:rsid w:val="00DA688F"/>
    <w:rsid w:val="00DA72B5"/>
    <w:rsid w:val="00DB2811"/>
    <w:rsid w:val="00DB6B7C"/>
    <w:rsid w:val="00DB74AA"/>
    <w:rsid w:val="00DC0168"/>
    <w:rsid w:val="00DC0A94"/>
    <w:rsid w:val="00DC47EC"/>
    <w:rsid w:val="00DC729A"/>
    <w:rsid w:val="00DC7751"/>
    <w:rsid w:val="00DD2C12"/>
    <w:rsid w:val="00DD3069"/>
    <w:rsid w:val="00DD44F2"/>
    <w:rsid w:val="00DD50FB"/>
    <w:rsid w:val="00DD5255"/>
    <w:rsid w:val="00DD65C2"/>
    <w:rsid w:val="00DD6E31"/>
    <w:rsid w:val="00DD7EA4"/>
    <w:rsid w:val="00DE04CF"/>
    <w:rsid w:val="00DE078E"/>
    <w:rsid w:val="00DE0E00"/>
    <w:rsid w:val="00DE4D06"/>
    <w:rsid w:val="00DE5BD0"/>
    <w:rsid w:val="00DF1347"/>
    <w:rsid w:val="00DF14C1"/>
    <w:rsid w:val="00DF3AFE"/>
    <w:rsid w:val="00DF45D8"/>
    <w:rsid w:val="00DF4CC9"/>
    <w:rsid w:val="00DF5FCF"/>
    <w:rsid w:val="00DF69EC"/>
    <w:rsid w:val="00E0060C"/>
    <w:rsid w:val="00E00647"/>
    <w:rsid w:val="00E01618"/>
    <w:rsid w:val="00E022B7"/>
    <w:rsid w:val="00E02633"/>
    <w:rsid w:val="00E02848"/>
    <w:rsid w:val="00E039E5"/>
    <w:rsid w:val="00E03A40"/>
    <w:rsid w:val="00E03EA0"/>
    <w:rsid w:val="00E04F7D"/>
    <w:rsid w:val="00E148F4"/>
    <w:rsid w:val="00E15D0D"/>
    <w:rsid w:val="00E1630D"/>
    <w:rsid w:val="00E1642F"/>
    <w:rsid w:val="00E22D93"/>
    <w:rsid w:val="00E25D6B"/>
    <w:rsid w:val="00E25F7A"/>
    <w:rsid w:val="00E2621A"/>
    <w:rsid w:val="00E269C6"/>
    <w:rsid w:val="00E26BF4"/>
    <w:rsid w:val="00E30345"/>
    <w:rsid w:val="00E32162"/>
    <w:rsid w:val="00E32C45"/>
    <w:rsid w:val="00E32C6E"/>
    <w:rsid w:val="00E33736"/>
    <w:rsid w:val="00E34495"/>
    <w:rsid w:val="00E346AB"/>
    <w:rsid w:val="00E35531"/>
    <w:rsid w:val="00E35853"/>
    <w:rsid w:val="00E37673"/>
    <w:rsid w:val="00E423BA"/>
    <w:rsid w:val="00E42558"/>
    <w:rsid w:val="00E44ADB"/>
    <w:rsid w:val="00E44B96"/>
    <w:rsid w:val="00E44BBF"/>
    <w:rsid w:val="00E45B27"/>
    <w:rsid w:val="00E50494"/>
    <w:rsid w:val="00E50A07"/>
    <w:rsid w:val="00E5261C"/>
    <w:rsid w:val="00E53E1C"/>
    <w:rsid w:val="00E53E99"/>
    <w:rsid w:val="00E550CF"/>
    <w:rsid w:val="00E5530A"/>
    <w:rsid w:val="00E57A4F"/>
    <w:rsid w:val="00E6122C"/>
    <w:rsid w:val="00E61E05"/>
    <w:rsid w:val="00E63565"/>
    <w:rsid w:val="00E638AE"/>
    <w:rsid w:val="00E662BA"/>
    <w:rsid w:val="00E66EE7"/>
    <w:rsid w:val="00E722AA"/>
    <w:rsid w:val="00E747DB"/>
    <w:rsid w:val="00E7566B"/>
    <w:rsid w:val="00E839F1"/>
    <w:rsid w:val="00E86201"/>
    <w:rsid w:val="00E908B4"/>
    <w:rsid w:val="00E9234B"/>
    <w:rsid w:val="00E927CF"/>
    <w:rsid w:val="00E93539"/>
    <w:rsid w:val="00E962EA"/>
    <w:rsid w:val="00E9756E"/>
    <w:rsid w:val="00EA27B1"/>
    <w:rsid w:val="00EA2923"/>
    <w:rsid w:val="00EA2FC8"/>
    <w:rsid w:val="00EA377F"/>
    <w:rsid w:val="00EA465B"/>
    <w:rsid w:val="00EA53DE"/>
    <w:rsid w:val="00EA6A1D"/>
    <w:rsid w:val="00EB0F53"/>
    <w:rsid w:val="00EB169D"/>
    <w:rsid w:val="00EB2171"/>
    <w:rsid w:val="00EB22A4"/>
    <w:rsid w:val="00EB3476"/>
    <w:rsid w:val="00EB4418"/>
    <w:rsid w:val="00EB5B19"/>
    <w:rsid w:val="00EB5B61"/>
    <w:rsid w:val="00EB6C79"/>
    <w:rsid w:val="00EB74D4"/>
    <w:rsid w:val="00EB7508"/>
    <w:rsid w:val="00EC090B"/>
    <w:rsid w:val="00ED0553"/>
    <w:rsid w:val="00ED09D1"/>
    <w:rsid w:val="00ED228E"/>
    <w:rsid w:val="00ED2754"/>
    <w:rsid w:val="00ED5127"/>
    <w:rsid w:val="00ED56F7"/>
    <w:rsid w:val="00EE04C3"/>
    <w:rsid w:val="00EE13B8"/>
    <w:rsid w:val="00EE2B5D"/>
    <w:rsid w:val="00EE2EA5"/>
    <w:rsid w:val="00EE3C44"/>
    <w:rsid w:val="00EE5668"/>
    <w:rsid w:val="00EE60C8"/>
    <w:rsid w:val="00EE6333"/>
    <w:rsid w:val="00EE65F5"/>
    <w:rsid w:val="00EF17E9"/>
    <w:rsid w:val="00EF23AD"/>
    <w:rsid w:val="00EF2725"/>
    <w:rsid w:val="00EF3705"/>
    <w:rsid w:val="00EF4CAD"/>
    <w:rsid w:val="00EF5EFC"/>
    <w:rsid w:val="00EF6404"/>
    <w:rsid w:val="00EF6483"/>
    <w:rsid w:val="00F0113F"/>
    <w:rsid w:val="00F01A0F"/>
    <w:rsid w:val="00F01C95"/>
    <w:rsid w:val="00F01E02"/>
    <w:rsid w:val="00F031EC"/>
    <w:rsid w:val="00F03333"/>
    <w:rsid w:val="00F03466"/>
    <w:rsid w:val="00F03BAF"/>
    <w:rsid w:val="00F04997"/>
    <w:rsid w:val="00F04ACE"/>
    <w:rsid w:val="00F0641C"/>
    <w:rsid w:val="00F065CC"/>
    <w:rsid w:val="00F06F9A"/>
    <w:rsid w:val="00F110CD"/>
    <w:rsid w:val="00F1277E"/>
    <w:rsid w:val="00F134C1"/>
    <w:rsid w:val="00F14C20"/>
    <w:rsid w:val="00F16EAB"/>
    <w:rsid w:val="00F2156B"/>
    <w:rsid w:val="00F23F51"/>
    <w:rsid w:val="00F24F37"/>
    <w:rsid w:val="00F256AF"/>
    <w:rsid w:val="00F27C0A"/>
    <w:rsid w:val="00F3135D"/>
    <w:rsid w:val="00F3157C"/>
    <w:rsid w:val="00F315E7"/>
    <w:rsid w:val="00F32D9C"/>
    <w:rsid w:val="00F3411C"/>
    <w:rsid w:val="00F40044"/>
    <w:rsid w:val="00F413C2"/>
    <w:rsid w:val="00F45E15"/>
    <w:rsid w:val="00F52375"/>
    <w:rsid w:val="00F539CD"/>
    <w:rsid w:val="00F53B12"/>
    <w:rsid w:val="00F569A6"/>
    <w:rsid w:val="00F60D6B"/>
    <w:rsid w:val="00F61C1D"/>
    <w:rsid w:val="00F61C74"/>
    <w:rsid w:val="00F6386D"/>
    <w:rsid w:val="00F640C5"/>
    <w:rsid w:val="00F64C2F"/>
    <w:rsid w:val="00F6589D"/>
    <w:rsid w:val="00F66011"/>
    <w:rsid w:val="00F668FF"/>
    <w:rsid w:val="00F67215"/>
    <w:rsid w:val="00F67A0C"/>
    <w:rsid w:val="00F74ED8"/>
    <w:rsid w:val="00F75349"/>
    <w:rsid w:val="00F75D9E"/>
    <w:rsid w:val="00F767D3"/>
    <w:rsid w:val="00F7721C"/>
    <w:rsid w:val="00F77A22"/>
    <w:rsid w:val="00F77AFF"/>
    <w:rsid w:val="00F807D8"/>
    <w:rsid w:val="00F87964"/>
    <w:rsid w:val="00F90F6F"/>
    <w:rsid w:val="00F914AB"/>
    <w:rsid w:val="00F93614"/>
    <w:rsid w:val="00F9402F"/>
    <w:rsid w:val="00F94D62"/>
    <w:rsid w:val="00FA033D"/>
    <w:rsid w:val="00FA0D35"/>
    <w:rsid w:val="00FA128A"/>
    <w:rsid w:val="00FA2550"/>
    <w:rsid w:val="00FA4B4A"/>
    <w:rsid w:val="00FA68CE"/>
    <w:rsid w:val="00FB11EF"/>
    <w:rsid w:val="00FB2353"/>
    <w:rsid w:val="00FB25BF"/>
    <w:rsid w:val="00FB2C61"/>
    <w:rsid w:val="00FB4FB2"/>
    <w:rsid w:val="00FB59E9"/>
    <w:rsid w:val="00FB5C9C"/>
    <w:rsid w:val="00FB785E"/>
    <w:rsid w:val="00FC2E9A"/>
    <w:rsid w:val="00FD24CB"/>
    <w:rsid w:val="00FD2C4E"/>
    <w:rsid w:val="00FD3F70"/>
    <w:rsid w:val="00FD47C4"/>
    <w:rsid w:val="00FD5314"/>
    <w:rsid w:val="00FD6AB9"/>
    <w:rsid w:val="00FD7625"/>
    <w:rsid w:val="00FE0428"/>
    <w:rsid w:val="00FE07C9"/>
    <w:rsid w:val="00FE29EA"/>
    <w:rsid w:val="00FE3DE2"/>
    <w:rsid w:val="00FE496E"/>
    <w:rsid w:val="00FE6CAE"/>
    <w:rsid w:val="00FE7D13"/>
    <w:rsid w:val="00FF00A7"/>
    <w:rsid w:val="00FF0563"/>
    <w:rsid w:val="00FF3157"/>
    <w:rsid w:val="00FF3BA7"/>
    <w:rsid w:val="00FF3D1D"/>
    <w:rsid w:val="00FF418F"/>
    <w:rsid w:val="00FF41D4"/>
    <w:rsid w:val="00FF4380"/>
    <w:rsid w:val="00FF4D2A"/>
    <w:rsid w:val="00FF58AB"/>
    <w:rsid w:val="00FF6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A830E9"/>
  <w15:chartTrackingRefBased/>
  <w15:docId w15:val="{DFCCBAEB-2469-4C2E-8B7A-038433464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2306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16B68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rPr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6EAB"/>
    <w:rPr>
      <w:b/>
      <w:bCs/>
      <w:sz w:val="20"/>
      <w:szCs w:val="20"/>
    </w:rPr>
  </w:style>
  <w:style w:type="character" w:styleId="Pogrubienie">
    <w:name w:val="Strong"/>
    <w:uiPriority w:val="22"/>
    <w:qFormat/>
    <w:rsid w:val="00892306"/>
    <w:rPr>
      <w:b/>
      <w:bCs/>
    </w:rPr>
  </w:style>
  <w:style w:type="paragraph" w:styleId="NormalnyWeb">
    <w:name w:val="Normal (Web)"/>
    <w:basedOn w:val="Normalny"/>
    <w:uiPriority w:val="99"/>
    <w:unhideWhenUsed/>
    <w:rsid w:val="00317D7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A425FD"/>
    <w:rPr>
      <w:color w:val="0563C1"/>
      <w:u w:val="single"/>
    </w:rPr>
  </w:style>
  <w:style w:type="character" w:styleId="Uwydatnienie">
    <w:name w:val="Emphasis"/>
    <w:uiPriority w:val="20"/>
    <w:qFormat/>
    <w:rsid w:val="00C5143E"/>
    <w:rPr>
      <w:i/>
      <w:iCs/>
    </w:rPr>
  </w:style>
  <w:style w:type="paragraph" w:customStyle="1" w:styleId="v1msonormal">
    <w:name w:val="v1msonormal"/>
    <w:basedOn w:val="Normalny"/>
    <w:rsid w:val="004321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table" w:styleId="Jasnalista">
    <w:name w:val="Light List"/>
    <w:basedOn w:val="Standardowy"/>
    <w:uiPriority w:val="61"/>
    <w:rsid w:val="005D6A2C"/>
    <w:rPr>
      <w:rFonts w:eastAsia="Times New Roman"/>
      <w:sz w:val="22"/>
      <w:szCs w:val="22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character" w:customStyle="1" w:styleId="Nagwek1Znak">
    <w:name w:val="Nagłówek 1 Znak"/>
    <w:link w:val="Nagwek1"/>
    <w:uiPriority w:val="9"/>
    <w:rsid w:val="00216B68"/>
    <w:rPr>
      <w:rFonts w:ascii="Calibri Light" w:eastAsia="Times New Roman" w:hAnsi="Calibri Light" w:cs="Times New Roman"/>
      <w:b/>
      <w:bCs/>
      <w:kern w:val="32"/>
      <w:sz w:val="32"/>
      <w:szCs w:val="3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474C3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4474C3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4474C3"/>
    <w:rPr>
      <w:vertAlign w:val="superscript"/>
    </w:rPr>
  </w:style>
  <w:style w:type="character" w:customStyle="1" w:styleId="cf01">
    <w:name w:val="cf01"/>
    <w:rsid w:val="008C3E79"/>
    <w:rPr>
      <w:rFonts w:ascii="Segoe UI" w:hAnsi="Segoe UI" w:cs="Segoe UI" w:hint="default"/>
      <w:sz w:val="18"/>
      <w:szCs w:val="18"/>
    </w:rPr>
  </w:style>
  <w:style w:type="character" w:styleId="Nierozpoznanawzmianka">
    <w:name w:val="Unresolved Mention"/>
    <w:uiPriority w:val="99"/>
    <w:semiHidden/>
    <w:unhideWhenUsed/>
    <w:rsid w:val="00B479A3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BE22C7"/>
    <w:rPr>
      <w:sz w:val="22"/>
      <w:szCs w:val="22"/>
      <w:lang w:eastAsia="en-US"/>
    </w:rPr>
  </w:style>
  <w:style w:type="paragraph" w:customStyle="1" w:styleId="pf0">
    <w:name w:val="pf0"/>
    <w:basedOn w:val="Normalny"/>
    <w:rsid w:val="00A169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9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9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0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8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09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54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475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201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7792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9803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12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4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58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786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145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618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1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6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577940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single" w:sz="12" w:space="5" w:color="006A9D"/>
          </w:divBdr>
          <w:divsChild>
            <w:div w:id="9286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223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43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870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8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61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2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5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1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9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1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5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58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434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33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529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4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5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6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3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7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0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6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8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5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23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649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31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5552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3225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072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8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9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5F8847-6D8C-44B9-88B4-F82C68DE0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1085</Words>
  <Characters>6511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7581</CharactersWithSpaces>
  <SharedDoc>false</SharedDoc>
  <HLinks>
    <vt:vector size="6" baseType="variant">
      <vt:variant>
        <vt:i4>7471165</vt:i4>
      </vt:variant>
      <vt:variant>
        <vt:i4>0</vt:i4>
      </vt:variant>
      <vt:variant>
        <vt:i4>0</vt:i4>
      </vt:variant>
      <vt:variant>
        <vt:i4>5</vt:i4>
      </vt:variant>
      <vt:variant>
        <vt:lpwstr>https://thegreenman.group/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T25</dc:creator>
  <cp:keywords/>
  <dc:description/>
  <cp:lastModifiedBy>Tomasz Pietrzak</cp:lastModifiedBy>
  <cp:revision>4</cp:revision>
  <dcterms:created xsi:type="dcterms:W3CDTF">2025-02-27T12:06:00Z</dcterms:created>
  <dcterms:modified xsi:type="dcterms:W3CDTF">2025-03-03T08:45:00Z</dcterms:modified>
</cp:coreProperties>
</file>