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6A04D" w14:textId="7F5FE9E0" w:rsidR="00931DF9" w:rsidRPr="00570D3B" w:rsidRDefault="00DF14C1" w:rsidP="0079451E">
      <w:pPr>
        <w:pStyle w:val="Bezodstpw"/>
        <w:jc w:val="both"/>
        <w:rPr>
          <w:rFonts w:ascii="Arial" w:hAnsi="Arial" w:cs="Arial"/>
          <w:sz w:val="20"/>
          <w:szCs w:val="20"/>
        </w:rPr>
      </w:pPr>
      <w:bookmarkStart w:id="0" w:name="_Hlk133229676"/>
      <w:r w:rsidRPr="00570D3B">
        <w:rPr>
          <w:noProof/>
        </w:rPr>
        <w:drawing>
          <wp:anchor distT="0" distB="0" distL="114300" distR="114300" simplePos="0" relativeHeight="251657728" behindDoc="0" locked="0" layoutInCell="1" allowOverlap="1" wp14:anchorId="61DB51D2" wp14:editId="7BEF1194">
            <wp:simplePos x="0" y="0"/>
            <wp:positionH relativeFrom="column">
              <wp:posOffset>1973580</wp:posOffset>
            </wp:positionH>
            <wp:positionV relativeFrom="paragraph">
              <wp:posOffset>-585470</wp:posOffset>
            </wp:positionV>
            <wp:extent cx="1972310" cy="586740"/>
            <wp:effectExtent l="0" t="0" r="0" b="0"/>
            <wp:wrapNone/>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2310"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06970" w14:textId="77777777" w:rsidR="00931DF9" w:rsidRPr="00570D3B" w:rsidRDefault="00931DF9" w:rsidP="0079451E">
      <w:pPr>
        <w:pStyle w:val="Bezodstpw"/>
        <w:jc w:val="both"/>
        <w:rPr>
          <w:rFonts w:ascii="Arial" w:hAnsi="Arial" w:cs="Arial"/>
          <w:sz w:val="20"/>
          <w:szCs w:val="20"/>
        </w:rPr>
      </w:pPr>
    </w:p>
    <w:p w14:paraId="1099C1C3" w14:textId="621A1D81" w:rsidR="00EA27B1" w:rsidRPr="00570D3B" w:rsidRDefault="00EA27B1" w:rsidP="0079451E">
      <w:pPr>
        <w:pStyle w:val="Bezodstpw"/>
        <w:jc w:val="both"/>
        <w:rPr>
          <w:rFonts w:ascii="Arial" w:hAnsi="Arial" w:cs="Arial"/>
          <w:sz w:val="18"/>
          <w:szCs w:val="18"/>
        </w:rPr>
      </w:pPr>
      <w:r w:rsidRPr="00570D3B">
        <w:rPr>
          <w:rFonts w:ascii="Arial" w:hAnsi="Arial" w:cs="Arial"/>
          <w:sz w:val="18"/>
          <w:szCs w:val="18"/>
        </w:rPr>
        <w:t xml:space="preserve">Informacja prasowa: </w:t>
      </w:r>
      <w:r w:rsidR="00B122A6">
        <w:rPr>
          <w:rFonts w:ascii="Arial" w:hAnsi="Arial" w:cs="Arial"/>
          <w:sz w:val="18"/>
          <w:szCs w:val="18"/>
        </w:rPr>
        <w:t>17</w:t>
      </w:r>
      <w:r w:rsidR="00F9402F">
        <w:rPr>
          <w:rFonts w:ascii="Arial" w:hAnsi="Arial" w:cs="Arial"/>
          <w:sz w:val="18"/>
          <w:szCs w:val="18"/>
        </w:rPr>
        <w:t>-01-2025</w:t>
      </w:r>
      <w:r w:rsidRPr="00570D3B">
        <w:rPr>
          <w:rFonts w:ascii="Arial" w:hAnsi="Arial" w:cs="Arial"/>
          <w:sz w:val="18"/>
          <w:szCs w:val="18"/>
        </w:rPr>
        <w:t xml:space="preserve">, </w:t>
      </w:r>
      <w:r w:rsidR="004564A2" w:rsidRPr="00570D3B">
        <w:rPr>
          <w:rFonts w:ascii="Arial" w:hAnsi="Arial" w:cs="Arial"/>
          <w:sz w:val="18"/>
          <w:szCs w:val="18"/>
        </w:rPr>
        <w:t>Warszawa</w:t>
      </w:r>
    </w:p>
    <w:p w14:paraId="75AB01AC"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 xml:space="preserve">Biuro Prasowe </w:t>
      </w:r>
      <w:r w:rsidR="004564A2" w:rsidRPr="00570D3B">
        <w:rPr>
          <w:rFonts w:ascii="Arial" w:hAnsi="Arial" w:cs="Arial"/>
          <w:sz w:val="18"/>
          <w:szCs w:val="18"/>
        </w:rPr>
        <w:t>Greenman Poland</w:t>
      </w:r>
    </w:p>
    <w:p w14:paraId="3C6C074A" w14:textId="77777777" w:rsidR="0079451E" w:rsidRPr="00570D3B" w:rsidRDefault="0079451E" w:rsidP="0079451E">
      <w:pPr>
        <w:pStyle w:val="Bezodstpw"/>
        <w:jc w:val="both"/>
        <w:rPr>
          <w:rFonts w:ascii="Arial" w:hAnsi="Arial" w:cs="Arial"/>
          <w:sz w:val="18"/>
          <w:szCs w:val="18"/>
        </w:rPr>
      </w:pPr>
      <w:r w:rsidRPr="00570D3B">
        <w:rPr>
          <w:rFonts w:ascii="Arial" w:hAnsi="Arial" w:cs="Arial"/>
          <w:sz w:val="18"/>
          <w:szCs w:val="18"/>
        </w:rPr>
        <w:t>Tomasz Pietrzak/Guarana PR</w:t>
      </w:r>
    </w:p>
    <w:p w14:paraId="176079A0" w14:textId="77777777" w:rsidR="0079451E" w:rsidRDefault="0079451E" w:rsidP="0079451E">
      <w:pPr>
        <w:pStyle w:val="Bezodstpw"/>
        <w:jc w:val="both"/>
        <w:rPr>
          <w:rFonts w:ascii="Arial" w:hAnsi="Arial" w:cs="Arial"/>
          <w:sz w:val="18"/>
          <w:szCs w:val="18"/>
        </w:rPr>
      </w:pPr>
      <w:r w:rsidRPr="00570D3B">
        <w:rPr>
          <w:rFonts w:ascii="Arial" w:hAnsi="Arial" w:cs="Arial"/>
          <w:sz w:val="18"/>
          <w:szCs w:val="18"/>
        </w:rPr>
        <w:t xml:space="preserve">tel. 509 106 256 mail. </w:t>
      </w:r>
      <w:r w:rsidR="00931DF9" w:rsidRPr="00570D3B">
        <w:rPr>
          <w:rFonts w:ascii="Arial" w:hAnsi="Arial" w:cs="Arial"/>
          <w:sz w:val="18"/>
          <w:szCs w:val="18"/>
        </w:rPr>
        <w:t>t</w:t>
      </w:r>
      <w:r w:rsidR="004B46C7" w:rsidRPr="00570D3B">
        <w:rPr>
          <w:rFonts w:ascii="Arial" w:hAnsi="Arial" w:cs="Arial"/>
          <w:sz w:val="18"/>
          <w:szCs w:val="18"/>
        </w:rPr>
        <w:t>omasz.pietrzak[at]guaranapr.pl</w:t>
      </w:r>
    </w:p>
    <w:p w14:paraId="54AEBC1D" w14:textId="77777777" w:rsidR="00CD49B5" w:rsidRDefault="00CD49B5" w:rsidP="0079451E">
      <w:pPr>
        <w:pStyle w:val="Bezodstpw"/>
        <w:jc w:val="both"/>
        <w:rPr>
          <w:rFonts w:ascii="Arial" w:hAnsi="Arial" w:cs="Arial"/>
          <w:sz w:val="18"/>
          <w:szCs w:val="18"/>
        </w:rPr>
      </w:pPr>
    </w:p>
    <w:p w14:paraId="3F7EFDA7" w14:textId="4CC88949" w:rsidR="00CD49B5" w:rsidRPr="00391726" w:rsidRDefault="00065D33" w:rsidP="00CD49B5">
      <w:pPr>
        <w:pStyle w:val="Bezodstpw"/>
        <w:jc w:val="center"/>
        <w:rPr>
          <w:rFonts w:ascii="Arial" w:hAnsi="Arial" w:cs="Arial"/>
          <w:b/>
          <w:bCs/>
          <w:sz w:val="28"/>
          <w:szCs w:val="28"/>
        </w:rPr>
      </w:pPr>
      <w:r w:rsidRPr="00391726">
        <w:rPr>
          <w:rFonts w:ascii="Arial" w:hAnsi="Arial" w:cs="Arial"/>
          <w:b/>
          <w:bCs/>
          <w:sz w:val="28"/>
          <w:szCs w:val="28"/>
        </w:rPr>
        <w:t>15 akcji buy&amp;get w rok</w:t>
      </w:r>
      <w:r w:rsidR="00391726" w:rsidRPr="00391726">
        <w:rPr>
          <w:rFonts w:ascii="Arial" w:hAnsi="Arial" w:cs="Arial"/>
          <w:b/>
          <w:bCs/>
          <w:sz w:val="28"/>
          <w:szCs w:val="28"/>
        </w:rPr>
        <w:t xml:space="preserve">. </w:t>
      </w:r>
      <w:r w:rsidR="00391726">
        <w:rPr>
          <w:rFonts w:ascii="Arial" w:hAnsi="Arial" w:cs="Arial"/>
          <w:b/>
          <w:bCs/>
          <w:sz w:val="28"/>
          <w:szCs w:val="28"/>
        </w:rPr>
        <w:br/>
      </w:r>
      <w:r w:rsidR="00391726" w:rsidRPr="00391726">
        <w:rPr>
          <w:rFonts w:ascii="Arial" w:hAnsi="Arial" w:cs="Arial"/>
          <w:b/>
          <w:bCs/>
          <w:sz w:val="28"/>
          <w:szCs w:val="28"/>
        </w:rPr>
        <w:t xml:space="preserve">Tak </w:t>
      </w:r>
      <w:r w:rsidRPr="00391726">
        <w:rPr>
          <w:rFonts w:ascii="Arial" w:hAnsi="Arial" w:cs="Arial"/>
          <w:b/>
          <w:bCs/>
          <w:sz w:val="28"/>
          <w:szCs w:val="28"/>
        </w:rPr>
        <w:t xml:space="preserve">Greenman Poland premiuje </w:t>
      </w:r>
      <w:r w:rsidR="00391726" w:rsidRPr="00391726">
        <w:rPr>
          <w:rFonts w:ascii="Arial" w:hAnsi="Arial" w:cs="Arial"/>
          <w:b/>
          <w:bCs/>
          <w:sz w:val="28"/>
          <w:szCs w:val="28"/>
        </w:rPr>
        <w:t>lojalnych klientów</w:t>
      </w:r>
    </w:p>
    <w:p w14:paraId="320D3321" w14:textId="77777777" w:rsidR="00895A74" w:rsidRDefault="00895A74" w:rsidP="00895A74">
      <w:pPr>
        <w:pStyle w:val="Bezodstpw"/>
        <w:rPr>
          <w:rFonts w:ascii="Arial" w:hAnsi="Arial" w:cs="Arial"/>
          <w:sz w:val="20"/>
          <w:szCs w:val="20"/>
        </w:rPr>
      </w:pPr>
    </w:p>
    <w:p w14:paraId="3019CD4D" w14:textId="77777777" w:rsidR="00FD47C4" w:rsidRPr="00056E6A" w:rsidRDefault="00FD47C4" w:rsidP="00FD47C4">
      <w:pPr>
        <w:pStyle w:val="Bezodstpw"/>
        <w:jc w:val="both"/>
        <w:rPr>
          <w:rFonts w:ascii="Arial" w:hAnsi="Arial" w:cs="Arial"/>
          <w:sz w:val="20"/>
          <w:szCs w:val="20"/>
        </w:rPr>
      </w:pPr>
    </w:p>
    <w:p w14:paraId="13831E92" w14:textId="34171AC6" w:rsidR="00136204" w:rsidRPr="00136204" w:rsidRDefault="00136204" w:rsidP="00136204">
      <w:pPr>
        <w:pStyle w:val="Bezodstpw"/>
        <w:jc w:val="both"/>
        <w:rPr>
          <w:rFonts w:ascii="Arial" w:hAnsi="Arial" w:cs="Arial"/>
          <w:b/>
          <w:bCs/>
          <w:sz w:val="24"/>
          <w:szCs w:val="24"/>
        </w:rPr>
      </w:pPr>
      <w:r w:rsidRPr="00136204">
        <w:rPr>
          <w:rFonts w:ascii="Arial" w:hAnsi="Arial" w:cs="Arial"/>
          <w:b/>
          <w:bCs/>
          <w:sz w:val="24"/>
          <w:szCs w:val="24"/>
        </w:rPr>
        <w:t xml:space="preserve">Greenman Poland zwiększa udział akcji buy&amp;get w swojej aktywności marketingowej, </w:t>
      </w:r>
      <w:r>
        <w:rPr>
          <w:rFonts w:ascii="Arial" w:hAnsi="Arial" w:cs="Arial"/>
          <w:b/>
          <w:bCs/>
          <w:sz w:val="24"/>
          <w:szCs w:val="24"/>
        </w:rPr>
        <w:t>stawiając mocno na wsparcie najemców i premiowanie klientów,</w:t>
      </w:r>
      <w:r w:rsidRPr="00136204">
        <w:rPr>
          <w:rFonts w:ascii="Arial" w:hAnsi="Arial" w:cs="Arial"/>
          <w:b/>
          <w:bCs/>
          <w:sz w:val="24"/>
          <w:szCs w:val="24"/>
        </w:rPr>
        <w:t xml:space="preserve"> którzy wybierają na codzienne zakupy centra handlowe z jego portfolio.</w:t>
      </w:r>
    </w:p>
    <w:p w14:paraId="2893B94C" w14:textId="77777777" w:rsidR="00136204" w:rsidRPr="00136204" w:rsidRDefault="00136204" w:rsidP="00136204">
      <w:pPr>
        <w:pStyle w:val="Bezodstpw"/>
        <w:jc w:val="both"/>
        <w:rPr>
          <w:rFonts w:ascii="Arial" w:hAnsi="Arial" w:cs="Arial"/>
          <w:sz w:val="20"/>
          <w:szCs w:val="20"/>
        </w:rPr>
      </w:pPr>
    </w:p>
    <w:p w14:paraId="28389591" w14:textId="4E295E74" w:rsidR="00136204" w:rsidRDefault="00136204" w:rsidP="00136204">
      <w:pPr>
        <w:pStyle w:val="Bezodstpw"/>
        <w:jc w:val="both"/>
        <w:rPr>
          <w:rFonts w:ascii="Arial" w:hAnsi="Arial" w:cs="Arial"/>
          <w:sz w:val="20"/>
          <w:szCs w:val="20"/>
        </w:rPr>
      </w:pPr>
      <w:r w:rsidRPr="00136204">
        <w:rPr>
          <w:rFonts w:ascii="Arial" w:hAnsi="Arial" w:cs="Arial"/>
          <w:sz w:val="20"/>
          <w:szCs w:val="20"/>
        </w:rPr>
        <w:t>Tylko w 2024 roku Nowe Czyżyny w Krakowie, Nowe Bielawy w Toruniu i Nowa Górna w Łodzi zorganizowały w sumie aż 15 tego typu wydarzeń, podczas których klienci, po wydaniu</w:t>
      </w:r>
      <w:r>
        <w:rPr>
          <w:rFonts w:ascii="Arial" w:hAnsi="Arial" w:cs="Arial"/>
          <w:sz w:val="20"/>
          <w:szCs w:val="20"/>
        </w:rPr>
        <w:t xml:space="preserve"> w sklepach</w:t>
      </w:r>
      <w:r w:rsidRPr="00136204">
        <w:rPr>
          <w:rFonts w:ascii="Arial" w:hAnsi="Arial" w:cs="Arial"/>
          <w:sz w:val="20"/>
          <w:szCs w:val="20"/>
        </w:rPr>
        <w:t xml:space="preserve"> określonej </w:t>
      </w:r>
      <w:r>
        <w:rPr>
          <w:rFonts w:ascii="Arial" w:hAnsi="Arial" w:cs="Arial"/>
          <w:sz w:val="20"/>
          <w:szCs w:val="20"/>
        </w:rPr>
        <w:t>sumy</w:t>
      </w:r>
      <w:r w:rsidRPr="00136204">
        <w:rPr>
          <w:rFonts w:ascii="Arial" w:hAnsi="Arial" w:cs="Arial"/>
          <w:sz w:val="20"/>
          <w:szCs w:val="20"/>
        </w:rPr>
        <w:t xml:space="preserve">, mogli odebrać upominki. </w:t>
      </w:r>
      <w:r w:rsidR="00B122A6">
        <w:rPr>
          <w:rFonts w:ascii="Arial" w:hAnsi="Arial" w:cs="Arial"/>
          <w:sz w:val="20"/>
          <w:szCs w:val="20"/>
        </w:rPr>
        <w:t xml:space="preserve">Efekt? We wszystkich aktywnościach prosale, w tym akcjach towarzyszących, wzięło </w:t>
      </w:r>
      <w:r w:rsidRPr="00136204">
        <w:rPr>
          <w:rFonts w:ascii="Arial" w:hAnsi="Arial" w:cs="Arial"/>
          <w:sz w:val="20"/>
          <w:szCs w:val="20"/>
        </w:rPr>
        <w:t>udział niemal 3,8 tys. osób!</w:t>
      </w:r>
    </w:p>
    <w:p w14:paraId="1F99C151" w14:textId="77777777" w:rsidR="00136204" w:rsidRPr="00136204" w:rsidRDefault="00136204" w:rsidP="00136204">
      <w:pPr>
        <w:pStyle w:val="Bezodstpw"/>
        <w:jc w:val="both"/>
        <w:rPr>
          <w:rFonts w:ascii="Arial" w:hAnsi="Arial" w:cs="Arial"/>
          <w:sz w:val="20"/>
          <w:szCs w:val="20"/>
        </w:rPr>
      </w:pPr>
    </w:p>
    <w:p w14:paraId="1A67850C" w14:textId="6C6CAB76" w:rsidR="00136204" w:rsidRPr="00136204" w:rsidRDefault="00136204" w:rsidP="00136204">
      <w:pPr>
        <w:pStyle w:val="Bezodstpw"/>
        <w:jc w:val="both"/>
        <w:rPr>
          <w:rFonts w:ascii="Arial" w:hAnsi="Arial" w:cs="Arial"/>
          <w:b/>
          <w:bCs/>
          <w:sz w:val="20"/>
          <w:szCs w:val="20"/>
        </w:rPr>
      </w:pPr>
      <w:r w:rsidRPr="00136204">
        <w:rPr>
          <w:rFonts w:ascii="Arial" w:hAnsi="Arial" w:cs="Arial"/>
          <w:sz w:val="20"/>
          <w:szCs w:val="20"/>
        </w:rPr>
        <w:t xml:space="preserve">– Z roku na rok akcje buy&amp;get cieszą się coraz większą popularnością wśród klientów, dlatego </w:t>
      </w:r>
      <w:r>
        <w:rPr>
          <w:rFonts w:ascii="Arial" w:hAnsi="Arial" w:cs="Arial"/>
          <w:sz w:val="20"/>
          <w:szCs w:val="20"/>
        </w:rPr>
        <w:t>rośnie ich udział</w:t>
      </w:r>
      <w:r w:rsidRPr="00136204">
        <w:rPr>
          <w:rFonts w:ascii="Arial" w:hAnsi="Arial" w:cs="Arial"/>
          <w:sz w:val="20"/>
          <w:szCs w:val="20"/>
        </w:rPr>
        <w:t xml:space="preserve"> w naszym kalendarzu marketingowym. Pojawiają się zarówno w kluczowych dla handlu okresach, jak np. </w:t>
      </w:r>
      <w:r>
        <w:rPr>
          <w:rFonts w:ascii="Arial" w:hAnsi="Arial" w:cs="Arial"/>
          <w:sz w:val="20"/>
          <w:szCs w:val="20"/>
        </w:rPr>
        <w:t>przed świętami</w:t>
      </w:r>
      <w:r w:rsidRPr="00136204">
        <w:rPr>
          <w:rFonts w:ascii="Arial" w:hAnsi="Arial" w:cs="Arial"/>
          <w:sz w:val="20"/>
          <w:szCs w:val="20"/>
        </w:rPr>
        <w:t xml:space="preserve">, ale także przy innych okazjach, takich jak sezon powrotu do szkoły czy Dzień </w:t>
      </w:r>
      <w:r>
        <w:rPr>
          <w:rFonts w:ascii="Arial" w:hAnsi="Arial" w:cs="Arial"/>
          <w:sz w:val="20"/>
          <w:szCs w:val="20"/>
        </w:rPr>
        <w:t>Kobiet</w:t>
      </w:r>
      <w:r w:rsidRPr="00136204">
        <w:rPr>
          <w:rFonts w:ascii="Arial" w:hAnsi="Arial" w:cs="Arial"/>
          <w:sz w:val="20"/>
          <w:szCs w:val="20"/>
        </w:rPr>
        <w:t xml:space="preserve"> – </w:t>
      </w:r>
      <w:r w:rsidRPr="00136204">
        <w:rPr>
          <w:rFonts w:ascii="Arial" w:hAnsi="Arial" w:cs="Arial"/>
          <w:b/>
          <w:bCs/>
          <w:sz w:val="20"/>
          <w:szCs w:val="20"/>
        </w:rPr>
        <w:t>mówi Anna Brzozowska, marketing manager w CH Nowe Czyżyny w Krakowie</w:t>
      </w:r>
      <w:r w:rsidR="0053028C">
        <w:rPr>
          <w:rFonts w:ascii="Arial" w:hAnsi="Arial" w:cs="Arial"/>
          <w:b/>
          <w:bCs/>
          <w:sz w:val="20"/>
          <w:szCs w:val="20"/>
        </w:rPr>
        <w:t xml:space="preserve"> i dodaje: </w:t>
      </w:r>
      <w:r w:rsidRPr="00136204">
        <w:rPr>
          <w:rFonts w:ascii="Arial" w:hAnsi="Arial" w:cs="Arial"/>
          <w:sz w:val="20"/>
          <w:szCs w:val="20"/>
        </w:rPr>
        <w:t>– Dostrzegamy w tym narzędziu ogromny</w:t>
      </w:r>
      <w:r>
        <w:rPr>
          <w:rFonts w:ascii="Arial" w:hAnsi="Arial" w:cs="Arial"/>
          <w:sz w:val="20"/>
          <w:szCs w:val="20"/>
        </w:rPr>
        <w:t xml:space="preserve"> potencjał</w:t>
      </w:r>
      <w:r w:rsidRPr="00136204">
        <w:rPr>
          <w:rFonts w:ascii="Arial" w:hAnsi="Arial" w:cs="Arial"/>
          <w:sz w:val="20"/>
          <w:szCs w:val="20"/>
        </w:rPr>
        <w:t>, zwłaszcza w sektorze convenience. Wydarzenia tego typu pozwalają nam okresowo zwiększyć sprzedaż, rozwijać relacje z klientem, a także wzmacniać nasz wizerunek jako ważnej lokalnie, codziennej destynacji zakupowej, która dba o lojalnego klienta – dodaje.</w:t>
      </w:r>
    </w:p>
    <w:p w14:paraId="0A2B65E8" w14:textId="77777777" w:rsidR="00136204" w:rsidRDefault="00136204" w:rsidP="00136204">
      <w:pPr>
        <w:pStyle w:val="Bezodstpw"/>
        <w:jc w:val="both"/>
        <w:rPr>
          <w:rFonts w:ascii="Arial" w:hAnsi="Arial" w:cs="Arial"/>
          <w:sz w:val="20"/>
          <w:szCs w:val="20"/>
        </w:rPr>
      </w:pPr>
    </w:p>
    <w:p w14:paraId="7B0B24AB" w14:textId="6C76C04F" w:rsidR="00136204" w:rsidRDefault="00136204" w:rsidP="00136204">
      <w:pPr>
        <w:pStyle w:val="Bezodstpw"/>
        <w:jc w:val="both"/>
        <w:rPr>
          <w:rFonts w:ascii="Arial" w:hAnsi="Arial" w:cs="Arial"/>
          <w:sz w:val="20"/>
          <w:szCs w:val="20"/>
        </w:rPr>
      </w:pPr>
      <w:r w:rsidRPr="00136204">
        <w:rPr>
          <w:rFonts w:ascii="Arial" w:hAnsi="Arial" w:cs="Arial"/>
          <w:sz w:val="20"/>
          <w:szCs w:val="20"/>
        </w:rPr>
        <w:t xml:space="preserve">Efektywność akcji organizowanych w trzech centrach wspiera uproszczony mechanizm ich realizacji. Kampanie w Nowych Czyżynach, Nowych Bielawach i Nowej Górnej trwają zazwyczaj do trzech dni, choć w niektórych przypadkach </w:t>
      </w:r>
      <w:r w:rsidR="00E83039">
        <w:rPr>
          <w:rFonts w:ascii="Arial" w:hAnsi="Arial" w:cs="Arial"/>
          <w:sz w:val="20"/>
          <w:szCs w:val="20"/>
        </w:rPr>
        <w:t>zacznie dłużej</w:t>
      </w:r>
      <w:r w:rsidRPr="00136204">
        <w:rPr>
          <w:rFonts w:ascii="Arial" w:hAnsi="Arial" w:cs="Arial"/>
          <w:sz w:val="20"/>
          <w:szCs w:val="20"/>
        </w:rPr>
        <w:t>. W tym czasie klienci, którzy dokonają zakupów na określoną kwotę (np. 200 zł)</w:t>
      </w:r>
      <w:r w:rsidR="00E83039">
        <w:rPr>
          <w:rFonts w:ascii="Arial" w:hAnsi="Arial" w:cs="Arial"/>
          <w:sz w:val="20"/>
          <w:szCs w:val="20"/>
        </w:rPr>
        <w:t>, po okazaniu paragonu lub paragonów</w:t>
      </w:r>
      <w:r w:rsidRPr="00136204">
        <w:rPr>
          <w:rFonts w:ascii="Arial" w:hAnsi="Arial" w:cs="Arial"/>
          <w:sz w:val="20"/>
          <w:szCs w:val="20"/>
        </w:rPr>
        <w:t xml:space="preserve"> mogą odebrać upominki. Dodatkowo często zyskują szansę na udział w konkursach towarzyszących akcjom</w:t>
      </w:r>
      <w:r w:rsidR="00E83039">
        <w:rPr>
          <w:rFonts w:ascii="Arial" w:hAnsi="Arial" w:cs="Arial"/>
          <w:sz w:val="20"/>
          <w:szCs w:val="20"/>
        </w:rPr>
        <w:t>, zdobywając kolejne nagrody</w:t>
      </w:r>
      <w:r w:rsidRPr="00136204">
        <w:rPr>
          <w:rFonts w:ascii="Arial" w:hAnsi="Arial" w:cs="Arial"/>
          <w:sz w:val="20"/>
          <w:szCs w:val="20"/>
        </w:rPr>
        <w:t>.</w:t>
      </w:r>
      <w:r w:rsidR="0053028C">
        <w:rPr>
          <w:rFonts w:ascii="Arial" w:hAnsi="Arial" w:cs="Arial"/>
          <w:sz w:val="20"/>
          <w:szCs w:val="20"/>
        </w:rPr>
        <w:t xml:space="preserve"> </w:t>
      </w:r>
      <w:r w:rsidRPr="00136204">
        <w:rPr>
          <w:rFonts w:ascii="Arial" w:hAnsi="Arial" w:cs="Arial"/>
          <w:sz w:val="20"/>
          <w:szCs w:val="20"/>
        </w:rPr>
        <w:t xml:space="preserve">Od początku 2024 roku działania te </w:t>
      </w:r>
      <w:r w:rsidR="001C16C4">
        <w:rPr>
          <w:rFonts w:ascii="Arial" w:hAnsi="Arial" w:cs="Arial"/>
          <w:sz w:val="20"/>
          <w:szCs w:val="20"/>
        </w:rPr>
        <w:t xml:space="preserve">w Nowych Czyżynach i Nowych Bielawach </w:t>
      </w:r>
      <w:r w:rsidRPr="00136204">
        <w:rPr>
          <w:rFonts w:ascii="Arial" w:hAnsi="Arial" w:cs="Arial"/>
          <w:sz w:val="20"/>
          <w:szCs w:val="20"/>
        </w:rPr>
        <w:t>wspiera</w:t>
      </w:r>
      <w:r w:rsidR="001C16C4">
        <w:rPr>
          <w:rFonts w:ascii="Arial" w:hAnsi="Arial" w:cs="Arial"/>
          <w:sz w:val="20"/>
          <w:szCs w:val="20"/>
        </w:rPr>
        <w:t>ła</w:t>
      </w:r>
      <w:r w:rsidRPr="00136204">
        <w:rPr>
          <w:rFonts w:ascii="Arial" w:hAnsi="Arial" w:cs="Arial"/>
          <w:sz w:val="20"/>
          <w:szCs w:val="20"/>
        </w:rPr>
        <w:t xml:space="preserve"> także bezpłatna aplikacja mobilna</w:t>
      </w:r>
      <w:r w:rsidR="001C16C4">
        <w:rPr>
          <w:rFonts w:ascii="Arial" w:hAnsi="Arial" w:cs="Arial"/>
          <w:sz w:val="20"/>
          <w:szCs w:val="20"/>
        </w:rPr>
        <w:t xml:space="preserve"> ActiveMall</w:t>
      </w:r>
      <w:r w:rsidRPr="00136204">
        <w:rPr>
          <w:rFonts w:ascii="Arial" w:hAnsi="Arial" w:cs="Arial"/>
          <w:sz w:val="20"/>
          <w:szCs w:val="20"/>
        </w:rPr>
        <w:t xml:space="preserve">. Dzięki niej </w:t>
      </w:r>
      <w:r w:rsidR="0053028C">
        <w:rPr>
          <w:rFonts w:ascii="Arial" w:hAnsi="Arial" w:cs="Arial"/>
          <w:sz w:val="20"/>
          <w:szCs w:val="20"/>
        </w:rPr>
        <w:t xml:space="preserve">uczestniczący w akcjach </w:t>
      </w:r>
      <w:r w:rsidR="001C16C4">
        <w:rPr>
          <w:rFonts w:ascii="Arial" w:hAnsi="Arial" w:cs="Arial"/>
          <w:sz w:val="20"/>
          <w:szCs w:val="20"/>
        </w:rPr>
        <w:t>mogli</w:t>
      </w:r>
      <w:r w:rsidRPr="00136204">
        <w:rPr>
          <w:rFonts w:ascii="Arial" w:hAnsi="Arial" w:cs="Arial"/>
          <w:sz w:val="20"/>
          <w:szCs w:val="20"/>
        </w:rPr>
        <w:t xml:space="preserve"> samodzielnie skanować paragony i rejestrować je online. Aplikacja umożliwi</w:t>
      </w:r>
      <w:r w:rsidR="001C16C4">
        <w:rPr>
          <w:rFonts w:ascii="Arial" w:hAnsi="Arial" w:cs="Arial"/>
          <w:sz w:val="20"/>
          <w:szCs w:val="20"/>
        </w:rPr>
        <w:t>ła</w:t>
      </w:r>
      <w:r w:rsidRPr="00136204">
        <w:rPr>
          <w:rFonts w:ascii="Arial" w:hAnsi="Arial" w:cs="Arial"/>
          <w:sz w:val="20"/>
          <w:szCs w:val="20"/>
        </w:rPr>
        <w:t xml:space="preserve"> również zapoznanie się z ofertą nagród</w:t>
      </w:r>
      <w:r w:rsidR="0053028C">
        <w:rPr>
          <w:rFonts w:ascii="Arial" w:hAnsi="Arial" w:cs="Arial"/>
          <w:sz w:val="20"/>
          <w:szCs w:val="20"/>
        </w:rPr>
        <w:t>.</w:t>
      </w:r>
    </w:p>
    <w:p w14:paraId="605F82B0" w14:textId="77777777" w:rsidR="00E83039" w:rsidRPr="00136204" w:rsidRDefault="00E83039" w:rsidP="00136204">
      <w:pPr>
        <w:pStyle w:val="Bezodstpw"/>
        <w:jc w:val="both"/>
        <w:rPr>
          <w:rFonts w:ascii="Arial" w:hAnsi="Arial" w:cs="Arial"/>
          <w:sz w:val="20"/>
          <w:szCs w:val="20"/>
        </w:rPr>
      </w:pPr>
    </w:p>
    <w:p w14:paraId="63B936F8" w14:textId="1A22D5E0" w:rsidR="00136204" w:rsidRDefault="00136204" w:rsidP="00136204">
      <w:pPr>
        <w:pStyle w:val="Bezodstpw"/>
        <w:jc w:val="both"/>
        <w:rPr>
          <w:rFonts w:ascii="Arial" w:hAnsi="Arial" w:cs="Arial"/>
          <w:sz w:val="20"/>
          <w:szCs w:val="20"/>
        </w:rPr>
      </w:pPr>
      <w:r w:rsidRPr="00136204">
        <w:rPr>
          <w:rFonts w:ascii="Arial" w:hAnsi="Arial" w:cs="Arial"/>
          <w:sz w:val="20"/>
          <w:szCs w:val="20"/>
        </w:rPr>
        <w:t>– Popularność naszych wydarzeń buy&amp;get wynika z kilku kluczowych czynników. Przede wszystkim są precyzyjnie dopasowane do profilu klienta. Finansowy próg uczestnictwa ustalamy w taki sposób, aby odpowiadał średnim wydatkom</w:t>
      </w:r>
      <w:r w:rsidR="00E83039">
        <w:rPr>
          <w:rFonts w:ascii="Arial" w:hAnsi="Arial" w:cs="Arial"/>
          <w:sz w:val="20"/>
          <w:szCs w:val="20"/>
        </w:rPr>
        <w:t xml:space="preserve"> podczas jednej wizyty</w:t>
      </w:r>
      <w:r w:rsidRPr="00136204">
        <w:rPr>
          <w:rFonts w:ascii="Arial" w:hAnsi="Arial" w:cs="Arial"/>
          <w:sz w:val="20"/>
          <w:szCs w:val="20"/>
        </w:rPr>
        <w:t xml:space="preserve"> w danym centrum, co czyni je szeroko dostępnymi. Dodatkowo dużym atutem są starannie dobrane nagrody – mówi Anna Brzozowska.</w:t>
      </w:r>
      <w:r w:rsidR="0053028C">
        <w:rPr>
          <w:rFonts w:ascii="Arial" w:hAnsi="Arial" w:cs="Arial"/>
          <w:sz w:val="20"/>
          <w:szCs w:val="20"/>
        </w:rPr>
        <w:t xml:space="preserve"> </w:t>
      </w:r>
      <w:r w:rsidRPr="00136204">
        <w:rPr>
          <w:rFonts w:ascii="Arial" w:hAnsi="Arial" w:cs="Arial"/>
          <w:sz w:val="20"/>
          <w:szCs w:val="20"/>
        </w:rPr>
        <w:t xml:space="preserve">– Upominki dobieramy tak, aby zwiększały wartość koszyka zakupowego i stanowiły dla klientów realną wartość dodaną. Dlatego wśród nich często znajdują się kosmetyki, biżuteria, dodatki, akcesoria do domu czy zabawki. Co istotne, nagrody te są również dopasowane do kontekstu danej akcji, na przykład Dnia </w:t>
      </w:r>
      <w:r w:rsidR="00E83039">
        <w:rPr>
          <w:rFonts w:ascii="Arial" w:hAnsi="Arial" w:cs="Arial"/>
          <w:sz w:val="20"/>
          <w:szCs w:val="20"/>
        </w:rPr>
        <w:t>Matki</w:t>
      </w:r>
      <w:r w:rsidRPr="00136204">
        <w:rPr>
          <w:rFonts w:ascii="Arial" w:hAnsi="Arial" w:cs="Arial"/>
          <w:sz w:val="20"/>
          <w:szCs w:val="20"/>
        </w:rPr>
        <w:t>, sezonu „back to school” czy walentynek, co pozwala nam precyzyjnie targetować aktywności – dodaje.</w:t>
      </w:r>
    </w:p>
    <w:p w14:paraId="7B760E50" w14:textId="77777777" w:rsidR="00E83039" w:rsidRPr="00136204" w:rsidRDefault="00E83039" w:rsidP="00136204">
      <w:pPr>
        <w:pStyle w:val="Bezodstpw"/>
        <w:jc w:val="both"/>
        <w:rPr>
          <w:rFonts w:ascii="Arial" w:hAnsi="Arial" w:cs="Arial"/>
          <w:sz w:val="20"/>
          <w:szCs w:val="20"/>
        </w:rPr>
      </w:pPr>
    </w:p>
    <w:p w14:paraId="3E1C8838" w14:textId="02327C6A" w:rsidR="00136204" w:rsidRDefault="00136204" w:rsidP="00136204">
      <w:pPr>
        <w:pStyle w:val="Bezodstpw"/>
        <w:jc w:val="both"/>
        <w:rPr>
          <w:rFonts w:ascii="Arial" w:hAnsi="Arial" w:cs="Arial"/>
          <w:sz w:val="20"/>
          <w:szCs w:val="20"/>
        </w:rPr>
      </w:pPr>
      <w:r w:rsidRPr="00136204">
        <w:rPr>
          <w:rFonts w:ascii="Arial" w:hAnsi="Arial" w:cs="Arial"/>
          <w:sz w:val="20"/>
          <w:szCs w:val="20"/>
        </w:rPr>
        <w:t>Ale nie tylko klienci wracający do domu z upominkami odnoszą korzyści. Dla centrów z portfolio Greenman Poland aktywność buy&amp;get stała się istotnym elementem strategii skoncentrowanej na wsparciu najemców na lokalnym rynku w Krakowie, Toruniu i Łodzi.</w:t>
      </w:r>
      <w:r w:rsidR="0053028C">
        <w:rPr>
          <w:rFonts w:ascii="Arial" w:hAnsi="Arial" w:cs="Arial"/>
          <w:sz w:val="20"/>
          <w:szCs w:val="20"/>
        </w:rPr>
        <w:t xml:space="preserve"> </w:t>
      </w:r>
      <w:r w:rsidRPr="00136204">
        <w:rPr>
          <w:rFonts w:ascii="Arial" w:hAnsi="Arial" w:cs="Arial"/>
          <w:sz w:val="20"/>
          <w:szCs w:val="20"/>
        </w:rPr>
        <w:t xml:space="preserve">– Każda inicjatywa prosprzedażowa, którą organizujemy, przyczynia się do promocji marek naszych partnerów biznesowych. Dzięki niej klienci mają okazję lepiej poznać ofertę sklepów, punktów usługowych czy restauracji uczestniczących w danej akcji. </w:t>
      </w:r>
      <w:r w:rsidR="00E83039">
        <w:rPr>
          <w:rFonts w:ascii="Arial" w:hAnsi="Arial" w:cs="Arial"/>
          <w:sz w:val="20"/>
          <w:szCs w:val="20"/>
        </w:rPr>
        <w:t xml:space="preserve">Zwłaszcza, że </w:t>
      </w:r>
      <w:r w:rsidRPr="00136204">
        <w:rPr>
          <w:rFonts w:ascii="Arial" w:hAnsi="Arial" w:cs="Arial"/>
          <w:sz w:val="20"/>
          <w:szCs w:val="20"/>
        </w:rPr>
        <w:t xml:space="preserve">100% nagród </w:t>
      </w:r>
      <w:r w:rsidR="00E83039">
        <w:rPr>
          <w:rFonts w:ascii="Arial" w:hAnsi="Arial" w:cs="Arial"/>
          <w:sz w:val="20"/>
          <w:szCs w:val="20"/>
        </w:rPr>
        <w:t>kupujemy u naszych najemców</w:t>
      </w:r>
      <w:r w:rsidRPr="00136204">
        <w:rPr>
          <w:rFonts w:ascii="Arial" w:hAnsi="Arial" w:cs="Arial"/>
          <w:sz w:val="20"/>
          <w:szCs w:val="20"/>
        </w:rPr>
        <w:t xml:space="preserve">. Ponadto za sprawą akcji buy&amp;get </w:t>
      </w:r>
      <w:r w:rsidR="00E83039">
        <w:rPr>
          <w:rFonts w:ascii="Arial" w:hAnsi="Arial" w:cs="Arial"/>
          <w:sz w:val="20"/>
          <w:szCs w:val="20"/>
        </w:rPr>
        <w:t xml:space="preserve">aktywnie </w:t>
      </w:r>
      <w:r w:rsidRPr="00136204">
        <w:rPr>
          <w:rFonts w:ascii="Arial" w:hAnsi="Arial" w:cs="Arial"/>
          <w:sz w:val="20"/>
          <w:szCs w:val="20"/>
        </w:rPr>
        <w:t xml:space="preserve">wspieramy sprzedaż, tworząc klientom dodatkowe zachęty do wizyt </w:t>
      </w:r>
      <w:r w:rsidR="00E83039">
        <w:rPr>
          <w:rFonts w:ascii="Arial" w:hAnsi="Arial" w:cs="Arial"/>
          <w:sz w:val="20"/>
          <w:szCs w:val="20"/>
        </w:rPr>
        <w:t>w sklepach i zakupów</w:t>
      </w:r>
      <w:r w:rsidRPr="00136204">
        <w:rPr>
          <w:rFonts w:ascii="Arial" w:hAnsi="Arial" w:cs="Arial"/>
          <w:sz w:val="20"/>
          <w:szCs w:val="20"/>
        </w:rPr>
        <w:t xml:space="preserve"> – podkreśla Anna Brzozowska.</w:t>
      </w:r>
    </w:p>
    <w:p w14:paraId="08EE43AD" w14:textId="77777777" w:rsidR="00E83039" w:rsidRPr="00136204" w:rsidRDefault="00E83039" w:rsidP="00136204">
      <w:pPr>
        <w:pStyle w:val="Bezodstpw"/>
        <w:jc w:val="both"/>
        <w:rPr>
          <w:rFonts w:ascii="Arial" w:hAnsi="Arial" w:cs="Arial"/>
          <w:sz w:val="20"/>
          <w:szCs w:val="20"/>
        </w:rPr>
      </w:pPr>
    </w:p>
    <w:p w14:paraId="67A298D8" w14:textId="21D82423" w:rsidR="00136204" w:rsidRDefault="00136204" w:rsidP="00136204">
      <w:pPr>
        <w:pStyle w:val="Bezodstpw"/>
        <w:jc w:val="both"/>
        <w:rPr>
          <w:rFonts w:ascii="Arial" w:hAnsi="Arial" w:cs="Arial"/>
          <w:sz w:val="20"/>
          <w:szCs w:val="20"/>
        </w:rPr>
      </w:pPr>
      <w:r w:rsidRPr="00136204">
        <w:rPr>
          <w:rFonts w:ascii="Arial" w:hAnsi="Arial" w:cs="Arial"/>
          <w:sz w:val="20"/>
          <w:szCs w:val="20"/>
        </w:rPr>
        <w:t>Lista akcji</w:t>
      </w:r>
      <w:r w:rsidR="00B122A6">
        <w:rPr>
          <w:rFonts w:ascii="Arial" w:hAnsi="Arial" w:cs="Arial"/>
          <w:sz w:val="20"/>
          <w:szCs w:val="20"/>
        </w:rPr>
        <w:t xml:space="preserve"> </w:t>
      </w:r>
      <w:r w:rsidRPr="00136204">
        <w:rPr>
          <w:rFonts w:ascii="Arial" w:hAnsi="Arial" w:cs="Arial"/>
          <w:sz w:val="20"/>
          <w:szCs w:val="20"/>
        </w:rPr>
        <w:t>w 2024 roku</w:t>
      </w:r>
      <w:r w:rsidR="00B122A6">
        <w:rPr>
          <w:rFonts w:ascii="Arial" w:hAnsi="Arial" w:cs="Arial"/>
          <w:sz w:val="20"/>
          <w:szCs w:val="20"/>
        </w:rPr>
        <w:t xml:space="preserve"> była </w:t>
      </w:r>
      <w:r w:rsidRPr="00136204">
        <w:rPr>
          <w:rFonts w:ascii="Arial" w:hAnsi="Arial" w:cs="Arial"/>
          <w:sz w:val="20"/>
          <w:szCs w:val="20"/>
        </w:rPr>
        <w:t xml:space="preserve">długa. Przykład? We wrześniu w Nowych Bielawach klienci, którzy wydali minimum 200 zł, mogli powiększyć wyprawkę dziecka o zestawy szkolne z kredkami i </w:t>
      </w:r>
      <w:r w:rsidRPr="00B122A6">
        <w:rPr>
          <w:rFonts w:ascii="Arial" w:hAnsi="Arial" w:cs="Arial"/>
          <w:sz w:val="20"/>
          <w:szCs w:val="20"/>
        </w:rPr>
        <w:t xml:space="preserve">kolorowymi </w:t>
      </w:r>
      <w:r w:rsidRPr="00B122A6">
        <w:rPr>
          <w:rFonts w:ascii="Arial" w:hAnsi="Arial" w:cs="Arial"/>
          <w:sz w:val="20"/>
          <w:szCs w:val="20"/>
        </w:rPr>
        <w:lastRenderedPageBreak/>
        <w:t xml:space="preserve">długopisami. W listopadzie podczas sześciodniowej akcji prosprzedażowej centrum rozdało aż 600 upominków tym, którzy wydali minimum 200 zł. Z kolei w marcu, z okazji Dnia Kobiet, wydając 200 zł, można było odebrać kosmetyki. W podobny sposób upominki na Dzień Kobiet rozdały Nowe Czyżyny. </w:t>
      </w:r>
      <w:r w:rsidR="00E83039" w:rsidRPr="00B122A6">
        <w:rPr>
          <w:rFonts w:ascii="Arial" w:hAnsi="Arial" w:cs="Arial"/>
          <w:sz w:val="20"/>
          <w:szCs w:val="20"/>
        </w:rPr>
        <w:t>Tam też</w:t>
      </w:r>
      <w:r w:rsidRPr="00B122A6">
        <w:rPr>
          <w:rFonts w:ascii="Arial" w:hAnsi="Arial" w:cs="Arial"/>
          <w:sz w:val="20"/>
          <w:szCs w:val="20"/>
        </w:rPr>
        <w:t xml:space="preserve"> w listopadzie wydając minimum 400 zł, można było wrócić do domu z kalendarzem adwentowym </w:t>
      </w:r>
      <w:r w:rsidR="00E83039" w:rsidRPr="00B122A6">
        <w:rPr>
          <w:rFonts w:ascii="Arial" w:hAnsi="Arial" w:cs="Arial"/>
          <w:sz w:val="20"/>
          <w:szCs w:val="20"/>
        </w:rPr>
        <w:t>Lego</w:t>
      </w:r>
      <w:r w:rsidRPr="00B122A6">
        <w:rPr>
          <w:rFonts w:ascii="Arial" w:hAnsi="Arial" w:cs="Arial"/>
          <w:sz w:val="20"/>
          <w:szCs w:val="20"/>
        </w:rPr>
        <w:t>.</w:t>
      </w:r>
      <w:r w:rsidR="00E83039" w:rsidRPr="00B122A6">
        <w:rPr>
          <w:rFonts w:ascii="Arial" w:hAnsi="Arial" w:cs="Arial"/>
          <w:sz w:val="20"/>
          <w:szCs w:val="20"/>
        </w:rPr>
        <w:t xml:space="preserve"> </w:t>
      </w:r>
      <w:bookmarkStart w:id="1" w:name="_Hlk187913620"/>
      <w:r w:rsidR="00E83039" w:rsidRPr="00B122A6">
        <w:rPr>
          <w:rFonts w:ascii="Arial" w:hAnsi="Arial" w:cs="Arial"/>
          <w:sz w:val="20"/>
          <w:szCs w:val="20"/>
        </w:rPr>
        <w:t>W sumie trzy centra w 2024 roku</w:t>
      </w:r>
      <w:r w:rsidR="00B122A6">
        <w:rPr>
          <w:rFonts w:ascii="Arial" w:hAnsi="Arial" w:cs="Arial"/>
          <w:sz w:val="20"/>
          <w:szCs w:val="20"/>
        </w:rPr>
        <w:t xml:space="preserve">, tylko w ramach akcji </w:t>
      </w:r>
      <w:r w:rsidR="00E83039" w:rsidRPr="00B122A6">
        <w:rPr>
          <w:rFonts w:ascii="Arial" w:hAnsi="Arial" w:cs="Arial"/>
          <w:sz w:val="20"/>
          <w:szCs w:val="20"/>
        </w:rPr>
        <w:t xml:space="preserve"> </w:t>
      </w:r>
      <w:r w:rsidR="00A159F9" w:rsidRPr="00B122A6">
        <w:rPr>
          <w:rFonts w:ascii="Arial" w:hAnsi="Arial" w:cs="Arial"/>
          <w:sz w:val="20"/>
          <w:szCs w:val="20"/>
        </w:rPr>
        <w:t>buy&amp;get</w:t>
      </w:r>
      <w:r w:rsidR="00437EEC">
        <w:rPr>
          <w:rFonts w:ascii="Arial" w:hAnsi="Arial" w:cs="Arial"/>
          <w:sz w:val="20"/>
          <w:szCs w:val="20"/>
        </w:rPr>
        <w:t>,</w:t>
      </w:r>
      <w:r w:rsidR="00A159F9" w:rsidRPr="00B122A6">
        <w:rPr>
          <w:rFonts w:ascii="Arial" w:hAnsi="Arial" w:cs="Arial"/>
          <w:sz w:val="20"/>
          <w:szCs w:val="20"/>
        </w:rPr>
        <w:t xml:space="preserve"> </w:t>
      </w:r>
      <w:r w:rsidR="00B122A6">
        <w:rPr>
          <w:rFonts w:ascii="Arial" w:hAnsi="Arial" w:cs="Arial"/>
          <w:sz w:val="20"/>
          <w:szCs w:val="20"/>
        </w:rPr>
        <w:t xml:space="preserve">rozdały </w:t>
      </w:r>
      <w:r w:rsidR="001C16C4" w:rsidRPr="00B122A6">
        <w:rPr>
          <w:rFonts w:ascii="Arial" w:hAnsi="Arial" w:cs="Arial"/>
          <w:sz w:val="20"/>
          <w:szCs w:val="20"/>
        </w:rPr>
        <w:t xml:space="preserve">niemal 2,9 tys. </w:t>
      </w:r>
      <w:r w:rsidR="00E83039" w:rsidRPr="00B122A6">
        <w:rPr>
          <w:rFonts w:ascii="Arial" w:hAnsi="Arial" w:cs="Arial"/>
          <w:sz w:val="20"/>
          <w:szCs w:val="20"/>
        </w:rPr>
        <w:t>upominków.</w:t>
      </w:r>
      <w:r w:rsidR="00E83039">
        <w:rPr>
          <w:rFonts w:ascii="Arial" w:hAnsi="Arial" w:cs="Arial"/>
          <w:sz w:val="20"/>
          <w:szCs w:val="20"/>
        </w:rPr>
        <w:t xml:space="preserve"> </w:t>
      </w:r>
    </w:p>
    <w:bookmarkEnd w:id="1"/>
    <w:p w14:paraId="0899A685" w14:textId="77777777" w:rsidR="00E83039" w:rsidRPr="00136204" w:rsidRDefault="00E83039" w:rsidP="00136204">
      <w:pPr>
        <w:pStyle w:val="Bezodstpw"/>
        <w:jc w:val="both"/>
        <w:rPr>
          <w:rFonts w:ascii="Arial" w:hAnsi="Arial" w:cs="Arial"/>
          <w:sz w:val="20"/>
          <w:szCs w:val="20"/>
        </w:rPr>
      </w:pPr>
    </w:p>
    <w:p w14:paraId="63CE81C4" w14:textId="704A9A63" w:rsidR="00136204" w:rsidRPr="00136204" w:rsidRDefault="00136204" w:rsidP="00136204">
      <w:pPr>
        <w:pStyle w:val="Bezodstpw"/>
        <w:jc w:val="both"/>
        <w:rPr>
          <w:rFonts w:ascii="Arial" w:hAnsi="Arial" w:cs="Arial"/>
          <w:sz w:val="20"/>
          <w:szCs w:val="20"/>
        </w:rPr>
      </w:pPr>
      <w:r w:rsidRPr="00136204">
        <w:rPr>
          <w:rFonts w:ascii="Arial" w:hAnsi="Arial" w:cs="Arial"/>
          <w:sz w:val="20"/>
          <w:szCs w:val="20"/>
        </w:rPr>
        <w:t>Ten kierunek centra planują konsekwentnie rozwijać w 2025 roku. – Buy&amp;get stało się integralnym elementem naszej strategii budowania relacji z klientem</w:t>
      </w:r>
      <w:r w:rsidR="00E83039">
        <w:rPr>
          <w:rFonts w:ascii="Arial" w:hAnsi="Arial" w:cs="Arial"/>
          <w:sz w:val="20"/>
          <w:szCs w:val="20"/>
        </w:rPr>
        <w:t xml:space="preserve"> i najemcą</w:t>
      </w:r>
      <w:r w:rsidRPr="00136204">
        <w:rPr>
          <w:rFonts w:ascii="Arial" w:hAnsi="Arial" w:cs="Arial"/>
          <w:sz w:val="20"/>
          <w:szCs w:val="20"/>
        </w:rPr>
        <w:t xml:space="preserve">, dlatego także w tym roku nie zabraknie takich akcji, w tym również z </w:t>
      </w:r>
      <w:r w:rsidR="00E83039">
        <w:rPr>
          <w:rFonts w:ascii="Arial" w:hAnsi="Arial" w:cs="Arial"/>
          <w:sz w:val="20"/>
          <w:szCs w:val="20"/>
        </w:rPr>
        <w:t xml:space="preserve">szerszym i częstszym </w:t>
      </w:r>
      <w:r w:rsidRPr="00136204">
        <w:rPr>
          <w:rFonts w:ascii="Arial" w:hAnsi="Arial" w:cs="Arial"/>
          <w:sz w:val="20"/>
          <w:szCs w:val="20"/>
        </w:rPr>
        <w:t>wykorzystaniem aplikacji</w:t>
      </w:r>
      <w:r w:rsidR="00E83039">
        <w:rPr>
          <w:rFonts w:ascii="Arial" w:hAnsi="Arial" w:cs="Arial"/>
          <w:sz w:val="20"/>
          <w:szCs w:val="20"/>
        </w:rPr>
        <w:t xml:space="preserve"> </w:t>
      </w:r>
      <w:r w:rsidR="001C16C4">
        <w:rPr>
          <w:rFonts w:ascii="Arial" w:hAnsi="Arial" w:cs="Arial"/>
          <w:sz w:val="20"/>
          <w:szCs w:val="20"/>
        </w:rPr>
        <w:t>mobilnych</w:t>
      </w:r>
      <w:r w:rsidRPr="00136204">
        <w:rPr>
          <w:rFonts w:ascii="Arial" w:hAnsi="Arial" w:cs="Arial"/>
          <w:sz w:val="20"/>
          <w:szCs w:val="20"/>
        </w:rPr>
        <w:t>. W planach mamy także rozwój naszego programu lojalnościowego, który umożliwi zbieranie punktów i ich wymianę na nagrody. Program właśnie rusza w Nowych Czyżynach – mówi Anna Brzozowska.</w:t>
      </w:r>
    </w:p>
    <w:p w14:paraId="3C86A8AF" w14:textId="77777777" w:rsidR="00D27502" w:rsidRDefault="00D27502" w:rsidP="00CD49B5">
      <w:pPr>
        <w:pStyle w:val="Bezodstpw"/>
        <w:jc w:val="both"/>
        <w:rPr>
          <w:rFonts w:ascii="Arial" w:hAnsi="Arial" w:cs="Arial"/>
          <w:sz w:val="20"/>
          <w:szCs w:val="20"/>
        </w:rPr>
      </w:pPr>
    </w:p>
    <w:p w14:paraId="0E15B6DD" w14:textId="77777777" w:rsidR="00261C22" w:rsidRDefault="00261C22" w:rsidP="00CD49B5">
      <w:pPr>
        <w:pStyle w:val="Bezodstpw"/>
        <w:jc w:val="both"/>
        <w:rPr>
          <w:rFonts w:ascii="Arial" w:hAnsi="Arial" w:cs="Arial"/>
          <w:sz w:val="20"/>
          <w:szCs w:val="20"/>
        </w:rPr>
      </w:pPr>
    </w:p>
    <w:p w14:paraId="0C7F9A18" w14:textId="77777777" w:rsidR="00B122A6" w:rsidRPr="002D6472" w:rsidRDefault="00B122A6" w:rsidP="00B122A6">
      <w:pPr>
        <w:pStyle w:val="Bezodstpw"/>
        <w:rPr>
          <w:rFonts w:ascii="Arial" w:hAnsi="Arial" w:cs="Arial"/>
          <w:color w:val="808080" w:themeColor="background1" w:themeShade="80"/>
          <w:sz w:val="16"/>
          <w:szCs w:val="16"/>
          <w:shd w:val="clear" w:color="auto" w:fill="FFFFFF"/>
        </w:rPr>
      </w:pPr>
      <w:bookmarkStart w:id="2" w:name="_Hlk179370043"/>
      <w:r w:rsidRPr="002D6472">
        <w:rPr>
          <w:rStyle w:val="Pogrubienie"/>
          <w:rFonts w:ascii="Arial" w:hAnsi="Arial" w:cs="Arial"/>
          <w:color w:val="808080" w:themeColor="background1" w:themeShade="80"/>
          <w:sz w:val="16"/>
          <w:szCs w:val="16"/>
          <w:shd w:val="clear" w:color="auto" w:fill="FFFFFF"/>
        </w:rPr>
        <w:t>CH Nowe Bielawy</w:t>
      </w:r>
      <w:r w:rsidRPr="002D6472">
        <w:rPr>
          <w:rFonts w:ascii="Arial" w:hAnsi="Arial" w:cs="Arial"/>
          <w:color w:val="808080" w:themeColor="background1" w:themeShade="80"/>
          <w:sz w:val="16"/>
          <w:szCs w:val="16"/>
          <w:shd w:val="clear" w:color="auto" w:fill="FFFFFF"/>
        </w:rPr>
        <w:t xml:space="preserve"> zlokalizowane jest we wschodniej części Torunia w pobliżu DK 15 i 80 oraz autostrady A1, niecałe 15 minut od Starego Miasta. Otwarty w 2002 roku obiekt wraz z dwoma parkami handlowymi ma powierzchnię ponad 30 tys. m kw. GLA i liczy sobie ponad 80 sklepów, restauracji i punktów usługowych. Wśród kluczowych najemców znaleźć można m.in. Carrefour, Jysk, RTV Euro AGD, Douglas, Smyk, Empik, home&amp;you, Carry, Rossmann, Pepco i CCC. Zrealizowana w 2022 roku i 2023 roku rozbudowa obiektu, zaowocowała powstaniem 2 nowoczesnych parków handlowych. W ich ofercie dostępne są sklepy: NEONET, Komfort, TEDi, Sinsay, Action i Maxi Zoo. </w:t>
      </w:r>
    </w:p>
    <w:bookmarkEnd w:id="2"/>
    <w:p w14:paraId="1647417F" w14:textId="77777777" w:rsidR="00B122A6" w:rsidRPr="002D6472" w:rsidRDefault="00B122A6" w:rsidP="00B122A6">
      <w:pPr>
        <w:pStyle w:val="Bezodstpw"/>
        <w:rPr>
          <w:rFonts w:ascii="Arial" w:hAnsi="Arial" w:cs="Arial"/>
          <w:color w:val="808080" w:themeColor="background1" w:themeShade="80"/>
          <w:sz w:val="16"/>
          <w:szCs w:val="16"/>
          <w:shd w:val="clear" w:color="auto" w:fill="FFFFFF"/>
        </w:rPr>
      </w:pPr>
    </w:p>
    <w:p w14:paraId="46A85025" w14:textId="77777777" w:rsidR="00B122A6" w:rsidRPr="002D6472" w:rsidRDefault="00B122A6" w:rsidP="00B122A6">
      <w:pPr>
        <w:pStyle w:val="Bezodstpw"/>
        <w:rPr>
          <w:rFonts w:ascii="Arial" w:hAnsi="Arial" w:cs="Arial"/>
          <w:color w:val="808080" w:themeColor="background1" w:themeShade="80"/>
          <w:sz w:val="16"/>
          <w:szCs w:val="16"/>
          <w:shd w:val="clear" w:color="auto" w:fill="FFFFFF"/>
        </w:rPr>
      </w:pPr>
      <w:r w:rsidRPr="002D6472">
        <w:rPr>
          <w:rFonts w:ascii="Arial" w:hAnsi="Arial" w:cs="Arial"/>
          <w:b/>
          <w:bCs/>
          <w:color w:val="808080" w:themeColor="background1" w:themeShade="80"/>
          <w:sz w:val="16"/>
          <w:szCs w:val="16"/>
          <w:shd w:val="clear" w:color="auto" w:fill="FFFFFF"/>
        </w:rPr>
        <w:t>CH Nowe Czyżyny</w:t>
      </w:r>
      <w:r w:rsidRPr="002D6472">
        <w:rPr>
          <w:rFonts w:ascii="Arial" w:hAnsi="Arial" w:cs="Arial"/>
          <w:color w:val="808080" w:themeColor="background1" w:themeShade="80"/>
          <w:sz w:val="16"/>
          <w:szCs w:val="16"/>
          <w:shd w:val="clear" w:color="auto" w:fill="FFFFFF"/>
        </w:rPr>
        <w:t xml:space="preserve"> zlokalizowane jest w Krakowie przy ul. Medweckiego 2. Otwarty w 2002 roku obiekt ma powierzchnię 31 tys. m kw. GLA i liczy sobie 95 sklepów, restauracji i punktów usługowych. Wśród kluczowych najemców znaleźć można m.in. Carrefour, Leroy Merlin, Jysk, RTV Euro AGD, Empik,  Douglas, Rossmann, home&amp;you, Big Star, Pepco, KFC i CCC. Zmotoryzowani mają tutaj do dyspozycji ponad 850 miejsc postojowych.</w:t>
      </w:r>
    </w:p>
    <w:p w14:paraId="42177F52" w14:textId="77777777" w:rsidR="00B122A6" w:rsidRPr="002D6472" w:rsidRDefault="00B122A6" w:rsidP="00B122A6">
      <w:pPr>
        <w:pStyle w:val="Bezodstpw"/>
        <w:rPr>
          <w:rFonts w:ascii="Arial" w:hAnsi="Arial" w:cs="Arial"/>
          <w:color w:val="808080" w:themeColor="background1" w:themeShade="80"/>
          <w:sz w:val="16"/>
          <w:szCs w:val="16"/>
          <w:shd w:val="clear" w:color="auto" w:fill="FFFFFF"/>
        </w:rPr>
      </w:pPr>
    </w:p>
    <w:p w14:paraId="1A7C4B80" w14:textId="77777777" w:rsidR="00B122A6" w:rsidRPr="002D6472" w:rsidRDefault="00B122A6" w:rsidP="00B122A6">
      <w:pPr>
        <w:pStyle w:val="Bezodstpw"/>
        <w:rPr>
          <w:rFonts w:ascii="Arial" w:hAnsi="Arial" w:cs="Arial"/>
          <w:color w:val="808080" w:themeColor="background1" w:themeShade="80"/>
          <w:sz w:val="16"/>
          <w:szCs w:val="16"/>
          <w:shd w:val="clear" w:color="auto" w:fill="FFFFFF"/>
        </w:rPr>
      </w:pPr>
      <w:r w:rsidRPr="002D6472">
        <w:rPr>
          <w:rFonts w:ascii="Arial" w:hAnsi="Arial" w:cs="Arial"/>
          <w:b/>
          <w:bCs/>
          <w:color w:val="808080" w:themeColor="background1" w:themeShade="80"/>
          <w:sz w:val="16"/>
          <w:szCs w:val="16"/>
          <w:shd w:val="clear" w:color="auto" w:fill="FFFFFF"/>
        </w:rPr>
        <w:t>CH Nowa Górna</w:t>
      </w:r>
      <w:r w:rsidRPr="002D6472">
        <w:rPr>
          <w:rFonts w:ascii="Arial" w:hAnsi="Arial" w:cs="Arial"/>
          <w:color w:val="808080" w:themeColor="background1" w:themeShade="80"/>
          <w:sz w:val="16"/>
          <w:szCs w:val="16"/>
          <w:shd w:val="clear" w:color="auto" w:fill="FFFFFF"/>
        </w:rPr>
        <w:t xml:space="preserve"> zlokalizowane jest w Łodzi przy ul. Kolumny 6/36. Otwarty w 1997 roku obiekt wraz z parkiem handlowym ma powierzchnię ponad 20 tys. m kw. GLA i liczy blisko 50 sklepów i punktów usługowych. W minionym roku centrum odwiedziło blisko 3 mln osób. Wśród kluczowych najemców centrum znaleźć można m.in. Carrefour, CCC, Pepco, Rossmann, Vision Express i W. Kruk. Zmotoryzowani mają tutaj do dyspozycji 890 miejsc postojowych. W kwietniu 2024 r. zakończyła rozbudowa Nowej Górnej, w efekcie której przy obiekcie powstał park handlowy. Inwestycja pomieściła 4 sklepy wielkopowierzchniowe: Sinsay, Action, KiK i Maxi Zoo.</w:t>
      </w:r>
    </w:p>
    <w:p w14:paraId="2D6937C1" w14:textId="77777777" w:rsidR="00B122A6" w:rsidRPr="002D6472" w:rsidRDefault="00B122A6" w:rsidP="00B122A6">
      <w:pPr>
        <w:pStyle w:val="Bezodstpw"/>
        <w:rPr>
          <w:rFonts w:ascii="Arial" w:hAnsi="Arial" w:cs="Arial"/>
          <w:color w:val="808080" w:themeColor="background1" w:themeShade="80"/>
          <w:sz w:val="16"/>
          <w:szCs w:val="16"/>
          <w:shd w:val="clear" w:color="auto" w:fill="FFFFFF"/>
        </w:rPr>
      </w:pPr>
    </w:p>
    <w:p w14:paraId="388CC12E" w14:textId="77777777" w:rsidR="00B122A6" w:rsidRPr="002D6472" w:rsidRDefault="00B122A6" w:rsidP="00B122A6">
      <w:pPr>
        <w:pStyle w:val="Bezodstpw"/>
        <w:rPr>
          <w:rFonts w:ascii="Arial" w:hAnsi="Arial" w:cs="Arial"/>
          <w:color w:val="808080" w:themeColor="background1" w:themeShade="80"/>
          <w:sz w:val="16"/>
          <w:szCs w:val="16"/>
        </w:rPr>
      </w:pPr>
    </w:p>
    <w:p w14:paraId="0ADBC1EE" w14:textId="77777777" w:rsidR="00B122A6" w:rsidRPr="002D6472" w:rsidRDefault="00B122A6" w:rsidP="00B122A6">
      <w:pPr>
        <w:pStyle w:val="Bezodstpw"/>
        <w:jc w:val="both"/>
        <w:rPr>
          <w:rFonts w:ascii="Arial" w:hAnsi="Arial" w:cs="Arial"/>
          <w:color w:val="808080" w:themeColor="background1" w:themeShade="80"/>
          <w:sz w:val="16"/>
          <w:szCs w:val="16"/>
          <w:shd w:val="clear" w:color="auto" w:fill="FFFFFF"/>
        </w:rPr>
      </w:pPr>
      <w:r w:rsidRPr="002D6472">
        <w:rPr>
          <w:rFonts w:ascii="Arial" w:hAnsi="Arial" w:cs="Arial"/>
          <w:b/>
          <w:bCs/>
          <w:color w:val="808080" w:themeColor="background1" w:themeShade="80"/>
          <w:sz w:val="16"/>
          <w:szCs w:val="16"/>
          <w:shd w:val="clear" w:color="auto" w:fill="FFFFFF"/>
        </w:rPr>
        <w:t>Greenman Poland</w:t>
      </w:r>
      <w:r w:rsidRPr="002D6472">
        <w:rPr>
          <w:rFonts w:ascii="Arial" w:hAnsi="Arial" w:cs="Arial"/>
          <w:color w:val="808080" w:themeColor="background1" w:themeShade="80"/>
          <w:sz w:val="16"/>
          <w:szCs w:val="16"/>
          <w:shd w:val="clear" w:color="auto" w:fill="FFFFFF"/>
        </w:rPr>
        <w:t>, asset manager i deweloper w segmencie convenience z siedzibą w Warszawie, koncentruje się na nabywaniu, zarządzaniu oraz rozwoju parków handlowych i centrów handlowych bazujących na ofercie spożywczej. Greenman Poland zarządza aktywami o wartości 150 mln euro, na które składają się parki handlowe i centra handlowe o łącznej powierzchni 87 tys. m kw. Najemcami tych obiektów są wiodące europejskie sieci handlowe, takie jak Carrefour, Rossmann, JYSK, Pepco czy Spar.</w:t>
      </w:r>
    </w:p>
    <w:p w14:paraId="2BAB6E20" w14:textId="77777777" w:rsidR="00B122A6" w:rsidRPr="002D6472" w:rsidRDefault="00B122A6" w:rsidP="00B122A6">
      <w:pPr>
        <w:pStyle w:val="Bezodstpw"/>
        <w:jc w:val="both"/>
        <w:rPr>
          <w:rFonts w:ascii="Arial" w:hAnsi="Arial" w:cs="Arial"/>
          <w:color w:val="808080" w:themeColor="background1" w:themeShade="80"/>
          <w:sz w:val="16"/>
          <w:szCs w:val="16"/>
          <w:shd w:val="clear" w:color="auto" w:fill="FFFFFF"/>
        </w:rPr>
      </w:pPr>
    </w:p>
    <w:p w14:paraId="6AAC90F9" w14:textId="6331339C" w:rsidR="00B122A6" w:rsidRPr="002D6472" w:rsidRDefault="00B122A6" w:rsidP="00B122A6">
      <w:pPr>
        <w:pStyle w:val="Bezodstpw"/>
        <w:jc w:val="both"/>
        <w:rPr>
          <w:rFonts w:ascii="Arial" w:hAnsi="Arial" w:cs="Arial"/>
          <w:color w:val="808080" w:themeColor="background1" w:themeShade="80"/>
          <w:sz w:val="16"/>
          <w:szCs w:val="16"/>
          <w:shd w:val="clear" w:color="auto" w:fill="FFFFFF"/>
        </w:rPr>
      </w:pPr>
      <w:r w:rsidRPr="002D6472">
        <w:rPr>
          <w:rFonts w:ascii="Arial" w:hAnsi="Arial" w:cs="Arial"/>
          <w:color w:val="808080" w:themeColor="background1" w:themeShade="80"/>
          <w:sz w:val="16"/>
          <w:szCs w:val="16"/>
          <w:shd w:val="clear" w:color="auto" w:fill="FFFFFF"/>
        </w:rPr>
        <w:t xml:space="preserve">Greenman Poland jest częścią </w:t>
      </w:r>
      <w:r w:rsidRPr="002D6472">
        <w:rPr>
          <w:rFonts w:ascii="Arial" w:hAnsi="Arial" w:cs="Arial"/>
          <w:b/>
          <w:bCs/>
          <w:color w:val="808080" w:themeColor="background1" w:themeShade="80"/>
          <w:sz w:val="16"/>
          <w:szCs w:val="16"/>
          <w:shd w:val="clear" w:color="auto" w:fill="FFFFFF"/>
        </w:rPr>
        <w:t>Greenman Group</w:t>
      </w:r>
      <w:r w:rsidRPr="002D6472">
        <w:rPr>
          <w:rFonts w:ascii="Arial" w:hAnsi="Arial" w:cs="Arial"/>
          <w:color w:val="808080" w:themeColor="background1" w:themeShade="80"/>
          <w:sz w:val="16"/>
          <w:szCs w:val="16"/>
          <w:shd w:val="clear" w:color="auto" w:fill="FFFFFF"/>
        </w:rPr>
        <w:t>, grupy spółek zależnych, obejmującej podmioty podlegające regulacjom Centralnego Banku Irlandii (CBI), CSSF i inne kontrolowane przez jeden podmiot – Greenman Holdings Limited. Grupa powstała w 2020 roku, jej główna siedziba znajduje się w Dublinie w Irlandii, a spółki zależne zatrudniają ok. 130 osób pracujących w 6 krajach i prowadzących działalność w 5 odrębnych obszarach biznesowych: usługi finansowe, nieruchomości, żywność i rolnictwo, media oraz zintegrowane sieci. Greenman Investments jest wiodącym na rynku, sektorowym funduszem inwestycyjnym Grupy, zarządzającym funduszem inwestycyjnym nieruchomości spożywczych. Fundusze Greenman Investment inwestują wyłącznie w parki handlowe i magazyny handlowe oparte na ofercie spożywczej</w:t>
      </w:r>
      <w:r>
        <w:rPr>
          <w:rFonts w:ascii="Arial" w:hAnsi="Arial" w:cs="Arial"/>
          <w:color w:val="808080" w:themeColor="background1" w:themeShade="80"/>
          <w:sz w:val="16"/>
          <w:szCs w:val="16"/>
          <w:shd w:val="clear" w:color="auto" w:fill="FFFFFF"/>
        </w:rPr>
        <w:t>.</w:t>
      </w:r>
    </w:p>
    <w:p w14:paraId="79428801" w14:textId="77777777" w:rsidR="00B122A6" w:rsidRPr="003C14B3" w:rsidRDefault="00B122A6" w:rsidP="00B122A6">
      <w:pPr>
        <w:pStyle w:val="Bezodstpw"/>
        <w:rPr>
          <w:rStyle w:val="Pogrubienie"/>
          <w:rFonts w:ascii="Arial" w:hAnsi="Arial" w:cs="Arial"/>
          <w:color w:val="808080" w:themeColor="background1" w:themeShade="80"/>
          <w:sz w:val="16"/>
          <w:szCs w:val="16"/>
        </w:rPr>
      </w:pPr>
    </w:p>
    <w:bookmarkEnd w:id="0"/>
    <w:p w14:paraId="68E5BFAA" w14:textId="77777777" w:rsidR="00FD47C4" w:rsidRPr="00056E6A" w:rsidRDefault="00FD47C4" w:rsidP="00FD47C4">
      <w:pPr>
        <w:pStyle w:val="Bezodstpw"/>
        <w:jc w:val="both"/>
        <w:rPr>
          <w:rFonts w:ascii="Arial" w:hAnsi="Arial" w:cs="Arial"/>
          <w:sz w:val="20"/>
          <w:szCs w:val="20"/>
        </w:rPr>
      </w:pPr>
    </w:p>
    <w:sectPr w:rsidR="00FD47C4" w:rsidRPr="00056E6A" w:rsidSect="00332EEA">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6A639" w14:textId="77777777" w:rsidR="00655D1A" w:rsidRDefault="00655D1A" w:rsidP="002723AC">
      <w:pPr>
        <w:spacing w:after="0" w:line="240" w:lineRule="auto"/>
      </w:pPr>
      <w:r>
        <w:separator/>
      </w:r>
    </w:p>
  </w:endnote>
  <w:endnote w:type="continuationSeparator" w:id="0">
    <w:p w14:paraId="43099160" w14:textId="77777777" w:rsidR="00655D1A" w:rsidRDefault="00655D1A"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D66D4" w14:textId="77777777" w:rsidR="00655D1A" w:rsidRDefault="00655D1A" w:rsidP="002723AC">
      <w:pPr>
        <w:spacing w:after="0" w:line="240" w:lineRule="auto"/>
      </w:pPr>
      <w:r>
        <w:separator/>
      </w:r>
    </w:p>
  </w:footnote>
  <w:footnote w:type="continuationSeparator" w:id="0">
    <w:p w14:paraId="1E0C4083" w14:textId="77777777" w:rsidR="00655D1A" w:rsidRDefault="00655D1A" w:rsidP="00272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94738" w14:textId="77777777" w:rsidR="002723AC" w:rsidRDefault="002723AC" w:rsidP="004564A2">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F2CEE"/>
    <w:multiLevelType w:val="hybridMultilevel"/>
    <w:tmpl w:val="AA5E87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3DD1C7D"/>
    <w:multiLevelType w:val="hybridMultilevel"/>
    <w:tmpl w:val="6988DF36"/>
    <w:lvl w:ilvl="0" w:tplc="0415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253D31"/>
    <w:multiLevelType w:val="hybridMultilevel"/>
    <w:tmpl w:val="978C6A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EDF0468"/>
    <w:multiLevelType w:val="hybridMultilevel"/>
    <w:tmpl w:val="673E43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FFB6BB0"/>
    <w:multiLevelType w:val="hybridMultilevel"/>
    <w:tmpl w:val="975E573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8F13D3A"/>
    <w:multiLevelType w:val="hybridMultilevel"/>
    <w:tmpl w:val="30AC7C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5980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5416239">
    <w:abstractNumId w:val="2"/>
  </w:num>
  <w:num w:numId="3" w16cid:durableId="1906181101">
    <w:abstractNumId w:val="0"/>
  </w:num>
  <w:num w:numId="4" w16cid:durableId="1380595850">
    <w:abstractNumId w:val="3"/>
  </w:num>
  <w:num w:numId="5" w16cid:durableId="1081756214">
    <w:abstractNumId w:val="5"/>
  </w:num>
  <w:num w:numId="6" w16cid:durableId="775910011">
    <w:abstractNumId w:val="4"/>
  </w:num>
  <w:num w:numId="7" w16cid:durableId="509491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32C"/>
    <w:rsid w:val="00001C47"/>
    <w:rsid w:val="000023F7"/>
    <w:rsid w:val="00003913"/>
    <w:rsid w:val="000058B5"/>
    <w:rsid w:val="00005936"/>
    <w:rsid w:val="000116CD"/>
    <w:rsid w:val="000228F2"/>
    <w:rsid w:val="00022B43"/>
    <w:rsid w:val="000251A0"/>
    <w:rsid w:val="000259F9"/>
    <w:rsid w:val="00025F88"/>
    <w:rsid w:val="00026A2C"/>
    <w:rsid w:val="00026EC4"/>
    <w:rsid w:val="0002756F"/>
    <w:rsid w:val="00031776"/>
    <w:rsid w:val="000328B9"/>
    <w:rsid w:val="0003332C"/>
    <w:rsid w:val="000369DF"/>
    <w:rsid w:val="0003739D"/>
    <w:rsid w:val="00037C61"/>
    <w:rsid w:val="00040C53"/>
    <w:rsid w:val="00044345"/>
    <w:rsid w:val="00044902"/>
    <w:rsid w:val="00045AB3"/>
    <w:rsid w:val="0005213F"/>
    <w:rsid w:val="000548C3"/>
    <w:rsid w:val="00055212"/>
    <w:rsid w:val="00056128"/>
    <w:rsid w:val="00056582"/>
    <w:rsid w:val="00056E6A"/>
    <w:rsid w:val="00061296"/>
    <w:rsid w:val="00065D33"/>
    <w:rsid w:val="000667DA"/>
    <w:rsid w:val="00066D3C"/>
    <w:rsid w:val="00074719"/>
    <w:rsid w:val="0007538F"/>
    <w:rsid w:val="000771E2"/>
    <w:rsid w:val="00077D26"/>
    <w:rsid w:val="00080EF8"/>
    <w:rsid w:val="000839B3"/>
    <w:rsid w:val="000854AD"/>
    <w:rsid w:val="00087E69"/>
    <w:rsid w:val="00090383"/>
    <w:rsid w:val="00090BDE"/>
    <w:rsid w:val="0009252D"/>
    <w:rsid w:val="00092C6B"/>
    <w:rsid w:val="00092C96"/>
    <w:rsid w:val="000932C8"/>
    <w:rsid w:val="00094967"/>
    <w:rsid w:val="0009573C"/>
    <w:rsid w:val="00096B09"/>
    <w:rsid w:val="00096EC2"/>
    <w:rsid w:val="00097653"/>
    <w:rsid w:val="000A1BE0"/>
    <w:rsid w:val="000A2597"/>
    <w:rsid w:val="000A2FCC"/>
    <w:rsid w:val="000A48A4"/>
    <w:rsid w:val="000A5297"/>
    <w:rsid w:val="000A5650"/>
    <w:rsid w:val="000A5864"/>
    <w:rsid w:val="000A60BE"/>
    <w:rsid w:val="000A6635"/>
    <w:rsid w:val="000A719B"/>
    <w:rsid w:val="000A7626"/>
    <w:rsid w:val="000A7A51"/>
    <w:rsid w:val="000B0B9D"/>
    <w:rsid w:val="000B2580"/>
    <w:rsid w:val="000B3B8F"/>
    <w:rsid w:val="000B431C"/>
    <w:rsid w:val="000B51C3"/>
    <w:rsid w:val="000B5769"/>
    <w:rsid w:val="000C0D29"/>
    <w:rsid w:val="000C137A"/>
    <w:rsid w:val="000C18A4"/>
    <w:rsid w:val="000C4F3F"/>
    <w:rsid w:val="000C6E3B"/>
    <w:rsid w:val="000D48B9"/>
    <w:rsid w:val="000D526D"/>
    <w:rsid w:val="000D62B9"/>
    <w:rsid w:val="000E16D7"/>
    <w:rsid w:val="000E208A"/>
    <w:rsid w:val="000E3835"/>
    <w:rsid w:val="000F06AB"/>
    <w:rsid w:val="000F433B"/>
    <w:rsid w:val="000F4F6C"/>
    <w:rsid w:val="000F4FE6"/>
    <w:rsid w:val="000F510B"/>
    <w:rsid w:val="000F5D5A"/>
    <w:rsid w:val="000F62A4"/>
    <w:rsid w:val="000F722D"/>
    <w:rsid w:val="000F770B"/>
    <w:rsid w:val="000F7C22"/>
    <w:rsid w:val="00102543"/>
    <w:rsid w:val="00102643"/>
    <w:rsid w:val="0010375A"/>
    <w:rsid w:val="00106CD3"/>
    <w:rsid w:val="00106EBF"/>
    <w:rsid w:val="001073B2"/>
    <w:rsid w:val="0011014B"/>
    <w:rsid w:val="00110667"/>
    <w:rsid w:val="00111E5B"/>
    <w:rsid w:val="001123DF"/>
    <w:rsid w:val="0011495F"/>
    <w:rsid w:val="0011570A"/>
    <w:rsid w:val="0011723E"/>
    <w:rsid w:val="0011791E"/>
    <w:rsid w:val="001307F8"/>
    <w:rsid w:val="00131809"/>
    <w:rsid w:val="00131CC3"/>
    <w:rsid w:val="00132B42"/>
    <w:rsid w:val="001332C5"/>
    <w:rsid w:val="001349B1"/>
    <w:rsid w:val="001351A4"/>
    <w:rsid w:val="00136204"/>
    <w:rsid w:val="00136442"/>
    <w:rsid w:val="0013767D"/>
    <w:rsid w:val="00140EFF"/>
    <w:rsid w:val="00142563"/>
    <w:rsid w:val="00142941"/>
    <w:rsid w:val="0014302D"/>
    <w:rsid w:val="001432E1"/>
    <w:rsid w:val="001434C9"/>
    <w:rsid w:val="0014477B"/>
    <w:rsid w:val="00145355"/>
    <w:rsid w:val="00145FE9"/>
    <w:rsid w:val="00150C6F"/>
    <w:rsid w:val="001510FD"/>
    <w:rsid w:val="00152C9A"/>
    <w:rsid w:val="001533B4"/>
    <w:rsid w:val="00154B61"/>
    <w:rsid w:val="001559FD"/>
    <w:rsid w:val="00155E51"/>
    <w:rsid w:val="001603EC"/>
    <w:rsid w:val="001609D0"/>
    <w:rsid w:val="00160F96"/>
    <w:rsid w:val="001651A4"/>
    <w:rsid w:val="001655B8"/>
    <w:rsid w:val="0016769B"/>
    <w:rsid w:val="00171C38"/>
    <w:rsid w:val="00172911"/>
    <w:rsid w:val="00172D9C"/>
    <w:rsid w:val="001732EA"/>
    <w:rsid w:val="00174328"/>
    <w:rsid w:val="00181676"/>
    <w:rsid w:val="00181931"/>
    <w:rsid w:val="001825AF"/>
    <w:rsid w:val="00183B72"/>
    <w:rsid w:val="00185843"/>
    <w:rsid w:val="0018610B"/>
    <w:rsid w:val="00186187"/>
    <w:rsid w:val="001867D1"/>
    <w:rsid w:val="0019391B"/>
    <w:rsid w:val="001944CC"/>
    <w:rsid w:val="001A1B05"/>
    <w:rsid w:val="001A1ECC"/>
    <w:rsid w:val="001A4AE5"/>
    <w:rsid w:val="001A59D2"/>
    <w:rsid w:val="001A5E3E"/>
    <w:rsid w:val="001A6436"/>
    <w:rsid w:val="001A72D9"/>
    <w:rsid w:val="001A78E9"/>
    <w:rsid w:val="001B1F2A"/>
    <w:rsid w:val="001B3C6B"/>
    <w:rsid w:val="001B5A9F"/>
    <w:rsid w:val="001B7B73"/>
    <w:rsid w:val="001C16C4"/>
    <w:rsid w:val="001C2585"/>
    <w:rsid w:val="001C3948"/>
    <w:rsid w:val="001C7A54"/>
    <w:rsid w:val="001D0029"/>
    <w:rsid w:val="001D0CE4"/>
    <w:rsid w:val="001D10B1"/>
    <w:rsid w:val="001D15B3"/>
    <w:rsid w:val="001D28EB"/>
    <w:rsid w:val="001D2AC2"/>
    <w:rsid w:val="001E015F"/>
    <w:rsid w:val="001E39B0"/>
    <w:rsid w:val="001E3AA0"/>
    <w:rsid w:val="001E4728"/>
    <w:rsid w:val="001E4E9E"/>
    <w:rsid w:val="001E759A"/>
    <w:rsid w:val="001E75BE"/>
    <w:rsid w:val="001F27B3"/>
    <w:rsid w:val="001F3E16"/>
    <w:rsid w:val="001F4B56"/>
    <w:rsid w:val="001F5A2A"/>
    <w:rsid w:val="001F7165"/>
    <w:rsid w:val="001F74E0"/>
    <w:rsid w:val="00200876"/>
    <w:rsid w:val="00201117"/>
    <w:rsid w:val="002017A3"/>
    <w:rsid w:val="00201E7D"/>
    <w:rsid w:val="00202EA3"/>
    <w:rsid w:val="00205688"/>
    <w:rsid w:val="0020664B"/>
    <w:rsid w:val="00206B86"/>
    <w:rsid w:val="00207D6A"/>
    <w:rsid w:val="0021029F"/>
    <w:rsid w:val="00211409"/>
    <w:rsid w:val="0021144C"/>
    <w:rsid w:val="00211469"/>
    <w:rsid w:val="00212165"/>
    <w:rsid w:val="00212654"/>
    <w:rsid w:val="00212BC0"/>
    <w:rsid w:val="00213186"/>
    <w:rsid w:val="002145E1"/>
    <w:rsid w:val="00215DDF"/>
    <w:rsid w:val="002168C6"/>
    <w:rsid w:val="002168F7"/>
    <w:rsid w:val="00216B68"/>
    <w:rsid w:val="00216BAF"/>
    <w:rsid w:val="00217B96"/>
    <w:rsid w:val="00220C25"/>
    <w:rsid w:val="0022236B"/>
    <w:rsid w:val="00222C6C"/>
    <w:rsid w:val="0022347E"/>
    <w:rsid w:val="00225C57"/>
    <w:rsid w:val="00227AC0"/>
    <w:rsid w:val="0023103B"/>
    <w:rsid w:val="002330B9"/>
    <w:rsid w:val="002335E1"/>
    <w:rsid w:val="00235013"/>
    <w:rsid w:val="00235045"/>
    <w:rsid w:val="00235104"/>
    <w:rsid w:val="0023631F"/>
    <w:rsid w:val="0023689C"/>
    <w:rsid w:val="00236A74"/>
    <w:rsid w:val="002377A8"/>
    <w:rsid w:val="002377CC"/>
    <w:rsid w:val="00237A55"/>
    <w:rsid w:val="0024257D"/>
    <w:rsid w:val="002447DE"/>
    <w:rsid w:val="00245D29"/>
    <w:rsid w:val="002471BA"/>
    <w:rsid w:val="00250134"/>
    <w:rsid w:val="00251732"/>
    <w:rsid w:val="00255253"/>
    <w:rsid w:val="00257679"/>
    <w:rsid w:val="00261C22"/>
    <w:rsid w:val="00261DFB"/>
    <w:rsid w:val="00262A0F"/>
    <w:rsid w:val="00271C29"/>
    <w:rsid w:val="0027208D"/>
    <w:rsid w:val="00272212"/>
    <w:rsid w:val="002723AC"/>
    <w:rsid w:val="002723F7"/>
    <w:rsid w:val="00273C93"/>
    <w:rsid w:val="00274750"/>
    <w:rsid w:val="002747A2"/>
    <w:rsid w:val="002824A2"/>
    <w:rsid w:val="00284270"/>
    <w:rsid w:val="002844D2"/>
    <w:rsid w:val="00287832"/>
    <w:rsid w:val="00287CDF"/>
    <w:rsid w:val="00287F1A"/>
    <w:rsid w:val="00290C54"/>
    <w:rsid w:val="00291E89"/>
    <w:rsid w:val="002923CF"/>
    <w:rsid w:val="00292F28"/>
    <w:rsid w:val="002944C2"/>
    <w:rsid w:val="00295B83"/>
    <w:rsid w:val="00296A5D"/>
    <w:rsid w:val="002A4942"/>
    <w:rsid w:val="002A4EE0"/>
    <w:rsid w:val="002A4F07"/>
    <w:rsid w:val="002A55A5"/>
    <w:rsid w:val="002B0902"/>
    <w:rsid w:val="002B2F5A"/>
    <w:rsid w:val="002B3150"/>
    <w:rsid w:val="002B3428"/>
    <w:rsid w:val="002B46E0"/>
    <w:rsid w:val="002B553C"/>
    <w:rsid w:val="002B6EA9"/>
    <w:rsid w:val="002B79E8"/>
    <w:rsid w:val="002C0C31"/>
    <w:rsid w:val="002C1566"/>
    <w:rsid w:val="002C1B22"/>
    <w:rsid w:val="002C3691"/>
    <w:rsid w:val="002C4978"/>
    <w:rsid w:val="002C6A4F"/>
    <w:rsid w:val="002D2701"/>
    <w:rsid w:val="002D2809"/>
    <w:rsid w:val="002D3940"/>
    <w:rsid w:val="002D6472"/>
    <w:rsid w:val="002E1147"/>
    <w:rsid w:val="002E12C2"/>
    <w:rsid w:val="002E1309"/>
    <w:rsid w:val="002E274C"/>
    <w:rsid w:val="002E2874"/>
    <w:rsid w:val="002E4BE8"/>
    <w:rsid w:val="002E5001"/>
    <w:rsid w:val="002E6589"/>
    <w:rsid w:val="002E685D"/>
    <w:rsid w:val="002E6E25"/>
    <w:rsid w:val="002E7101"/>
    <w:rsid w:val="002E7289"/>
    <w:rsid w:val="002F09AE"/>
    <w:rsid w:val="002F0BC4"/>
    <w:rsid w:val="002F1780"/>
    <w:rsid w:val="002F229E"/>
    <w:rsid w:val="002F3998"/>
    <w:rsid w:val="002F596C"/>
    <w:rsid w:val="002F5D2F"/>
    <w:rsid w:val="00300B14"/>
    <w:rsid w:val="00302448"/>
    <w:rsid w:val="0030358D"/>
    <w:rsid w:val="003042DB"/>
    <w:rsid w:val="003070FF"/>
    <w:rsid w:val="003127D8"/>
    <w:rsid w:val="00314EBA"/>
    <w:rsid w:val="00315E29"/>
    <w:rsid w:val="00317D71"/>
    <w:rsid w:val="0032234C"/>
    <w:rsid w:val="003228C4"/>
    <w:rsid w:val="00324F7A"/>
    <w:rsid w:val="0032654A"/>
    <w:rsid w:val="003265E8"/>
    <w:rsid w:val="00332EEA"/>
    <w:rsid w:val="003334F2"/>
    <w:rsid w:val="00333DA7"/>
    <w:rsid w:val="00335A7E"/>
    <w:rsid w:val="00335BC1"/>
    <w:rsid w:val="00335D64"/>
    <w:rsid w:val="00336EBB"/>
    <w:rsid w:val="00337DA0"/>
    <w:rsid w:val="00342A3B"/>
    <w:rsid w:val="00343BB1"/>
    <w:rsid w:val="00343E3F"/>
    <w:rsid w:val="00343EBC"/>
    <w:rsid w:val="00344784"/>
    <w:rsid w:val="00344F29"/>
    <w:rsid w:val="003476A8"/>
    <w:rsid w:val="00350BB7"/>
    <w:rsid w:val="00353336"/>
    <w:rsid w:val="00357D27"/>
    <w:rsid w:val="00360683"/>
    <w:rsid w:val="00361988"/>
    <w:rsid w:val="00362B6F"/>
    <w:rsid w:val="00363272"/>
    <w:rsid w:val="00364728"/>
    <w:rsid w:val="00366880"/>
    <w:rsid w:val="003678A6"/>
    <w:rsid w:val="00367992"/>
    <w:rsid w:val="00367A34"/>
    <w:rsid w:val="00370661"/>
    <w:rsid w:val="00371B5B"/>
    <w:rsid w:val="003739DE"/>
    <w:rsid w:val="00373D5B"/>
    <w:rsid w:val="003814D5"/>
    <w:rsid w:val="003819CA"/>
    <w:rsid w:val="00383DA2"/>
    <w:rsid w:val="003856DD"/>
    <w:rsid w:val="00385BF4"/>
    <w:rsid w:val="003915EA"/>
    <w:rsid w:val="00391726"/>
    <w:rsid w:val="00391FC9"/>
    <w:rsid w:val="0039269D"/>
    <w:rsid w:val="003973E6"/>
    <w:rsid w:val="003A1FDB"/>
    <w:rsid w:val="003A22D1"/>
    <w:rsid w:val="003A7318"/>
    <w:rsid w:val="003B4F8D"/>
    <w:rsid w:val="003B4FC3"/>
    <w:rsid w:val="003B5BE4"/>
    <w:rsid w:val="003B650C"/>
    <w:rsid w:val="003B711D"/>
    <w:rsid w:val="003B7357"/>
    <w:rsid w:val="003C09DE"/>
    <w:rsid w:val="003C14B3"/>
    <w:rsid w:val="003C1F5D"/>
    <w:rsid w:val="003C2303"/>
    <w:rsid w:val="003C6339"/>
    <w:rsid w:val="003D0378"/>
    <w:rsid w:val="003D1B6C"/>
    <w:rsid w:val="003D1D27"/>
    <w:rsid w:val="003D3FF0"/>
    <w:rsid w:val="003D4550"/>
    <w:rsid w:val="003D476A"/>
    <w:rsid w:val="003D4C23"/>
    <w:rsid w:val="003D5F0B"/>
    <w:rsid w:val="003E2392"/>
    <w:rsid w:val="003E4A84"/>
    <w:rsid w:val="003E7545"/>
    <w:rsid w:val="003F32AC"/>
    <w:rsid w:val="003F355F"/>
    <w:rsid w:val="003F5329"/>
    <w:rsid w:val="003F7BDF"/>
    <w:rsid w:val="004006E0"/>
    <w:rsid w:val="00401D11"/>
    <w:rsid w:val="00405666"/>
    <w:rsid w:val="00406448"/>
    <w:rsid w:val="004064C4"/>
    <w:rsid w:val="00407450"/>
    <w:rsid w:val="00411A3C"/>
    <w:rsid w:val="00412057"/>
    <w:rsid w:val="0041268C"/>
    <w:rsid w:val="004166D2"/>
    <w:rsid w:val="00416D80"/>
    <w:rsid w:val="00417500"/>
    <w:rsid w:val="00417646"/>
    <w:rsid w:val="0042084C"/>
    <w:rsid w:val="00421386"/>
    <w:rsid w:val="00421D8A"/>
    <w:rsid w:val="00422247"/>
    <w:rsid w:val="00424A37"/>
    <w:rsid w:val="00425AFB"/>
    <w:rsid w:val="00425E03"/>
    <w:rsid w:val="004262D4"/>
    <w:rsid w:val="00426B33"/>
    <w:rsid w:val="00426C38"/>
    <w:rsid w:val="004306AB"/>
    <w:rsid w:val="004308E8"/>
    <w:rsid w:val="004319C1"/>
    <w:rsid w:val="0043219C"/>
    <w:rsid w:val="00434953"/>
    <w:rsid w:val="00435C7A"/>
    <w:rsid w:val="00437EEC"/>
    <w:rsid w:val="004420BE"/>
    <w:rsid w:val="004426C1"/>
    <w:rsid w:val="00442909"/>
    <w:rsid w:val="00443AAE"/>
    <w:rsid w:val="00446054"/>
    <w:rsid w:val="00446063"/>
    <w:rsid w:val="00446084"/>
    <w:rsid w:val="004468C7"/>
    <w:rsid w:val="00446C9E"/>
    <w:rsid w:val="004474C3"/>
    <w:rsid w:val="0045004B"/>
    <w:rsid w:val="00450C5E"/>
    <w:rsid w:val="00452A6C"/>
    <w:rsid w:val="00456051"/>
    <w:rsid w:val="004564A2"/>
    <w:rsid w:val="004568C9"/>
    <w:rsid w:val="00460B55"/>
    <w:rsid w:val="00462BC1"/>
    <w:rsid w:val="00463086"/>
    <w:rsid w:val="00464718"/>
    <w:rsid w:val="00464F97"/>
    <w:rsid w:val="0046527F"/>
    <w:rsid w:val="004725E3"/>
    <w:rsid w:val="00476961"/>
    <w:rsid w:val="00476EFA"/>
    <w:rsid w:val="00476F17"/>
    <w:rsid w:val="00477F92"/>
    <w:rsid w:val="00481ABA"/>
    <w:rsid w:val="00482FF9"/>
    <w:rsid w:val="00483396"/>
    <w:rsid w:val="00483FC0"/>
    <w:rsid w:val="00484510"/>
    <w:rsid w:val="00485902"/>
    <w:rsid w:val="00485994"/>
    <w:rsid w:val="00486677"/>
    <w:rsid w:val="00486BAB"/>
    <w:rsid w:val="004870BE"/>
    <w:rsid w:val="0049003E"/>
    <w:rsid w:val="0049081B"/>
    <w:rsid w:val="00491356"/>
    <w:rsid w:val="004947F8"/>
    <w:rsid w:val="00495C91"/>
    <w:rsid w:val="004A0A11"/>
    <w:rsid w:val="004A0F13"/>
    <w:rsid w:val="004A147A"/>
    <w:rsid w:val="004A4618"/>
    <w:rsid w:val="004B154D"/>
    <w:rsid w:val="004B2E07"/>
    <w:rsid w:val="004B46C7"/>
    <w:rsid w:val="004B4C8C"/>
    <w:rsid w:val="004B6626"/>
    <w:rsid w:val="004B6E7A"/>
    <w:rsid w:val="004B6EC1"/>
    <w:rsid w:val="004B75D0"/>
    <w:rsid w:val="004C0191"/>
    <w:rsid w:val="004C0691"/>
    <w:rsid w:val="004C1202"/>
    <w:rsid w:val="004C3193"/>
    <w:rsid w:val="004C3E66"/>
    <w:rsid w:val="004C7BD8"/>
    <w:rsid w:val="004D098F"/>
    <w:rsid w:val="004D2B99"/>
    <w:rsid w:val="004D3B34"/>
    <w:rsid w:val="004D3DA0"/>
    <w:rsid w:val="004D4AA5"/>
    <w:rsid w:val="004D4D09"/>
    <w:rsid w:val="004D5075"/>
    <w:rsid w:val="004D6649"/>
    <w:rsid w:val="004D6A4E"/>
    <w:rsid w:val="004D6D08"/>
    <w:rsid w:val="004D6F3B"/>
    <w:rsid w:val="004D7AEE"/>
    <w:rsid w:val="004D7B4C"/>
    <w:rsid w:val="004E07E1"/>
    <w:rsid w:val="004E0C35"/>
    <w:rsid w:val="004E312B"/>
    <w:rsid w:val="004E3CF4"/>
    <w:rsid w:val="004E7AD9"/>
    <w:rsid w:val="004F1F7C"/>
    <w:rsid w:val="004F2DDF"/>
    <w:rsid w:val="004F66D9"/>
    <w:rsid w:val="004F7298"/>
    <w:rsid w:val="005000BA"/>
    <w:rsid w:val="00500369"/>
    <w:rsid w:val="0050131D"/>
    <w:rsid w:val="005038A8"/>
    <w:rsid w:val="0050392C"/>
    <w:rsid w:val="00505A8B"/>
    <w:rsid w:val="00507EF9"/>
    <w:rsid w:val="00510332"/>
    <w:rsid w:val="00510D87"/>
    <w:rsid w:val="00511D1E"/>
    <w:rsid w:val="00512C5E"/>
    <w:rsid w:val="00513491"/>
    <w:rsid w:val="00515FB5"/>
    <w:rsid w:val="005171C1"/>
    <w:rsid w:val="0052016B"/>
    <w:rsid w:val="00520665"/>
    <w:rsid w:val="00521787"/>
    <w:rsid w:val="00522326"/>
    <w:rsid w:val="00523A39"/>
    <w:rsid w:val="00524FA7"/>
    <w:rsid w:val="0053028C"/>
    <w:rsid w:val="00532370"/>
    <w:rsid w:val="00532C4D"/>
    <w:rsid w:val="005346F9"/>
    <w:rsid w:val="00535069"/>
    <w:rsid w:val="0054144E"/>
    <w:rsid w:val="005418BB"/>
    <w:rsid w:val="0054484A"/>
    <w:rsid w:val="00553866"/>
    <w:rsid w:val="0055386D"/>
    <w:rsid w:val="00553AF8"/>
    <w:rsid w:val="0055724C"/>
    <w:rsid w:val="0056186D"/>
    <w:rsid w:val="00561E29"/>
    <w:rsid w:val="00562C93"/>
    <w:rsid w:val="00563B62"/>
    <w:rsid w:val="00565D93"/>
    <w:rsid w:val="005664F0"/>
    <w:rsid w:val="005666CC"/>
    <w:rsid w:val="00566D72"/>
    <w:rsid w:val="00570D3B"/>
    <w:rsid w:val="00570F9A"/>
    <w:rsid w:val="00574BBE"/>
    <w:rsid w:val="00575E1E"/>
    <w:rsid w:val="00577638"/>
    <w:rsid w:val="00580632"/>
    <w:rsid w:val="005809D3"/>
    <w:rsid w:val="005826D3"/>
    <w:rsid w:val="005827C7"/>
    <w:rsid w:val="005837C7"/>
    <w:rsid w:val="005862A5"/>
    <w:rsid w:val="005878B0"/>
    <w:rsid w:val="00590E13"/>
    <w:rsid w:val="00590FD2"/>
    <w:rsid w:val="005925F4"/>
    <w:rsid w:val="00592DD6"/>
    <w:rsid w:val="00593F07"/>
    <w:rsid w:val="00596011"/>
    <w:rsid w:val="00597100"/>
    <w:rsid w:val="005A07B0"/>
    <w:rsid w:val="005A10A1"/>
    <w:rsid w:val="005A2773"/>
    <w:rsid w:val="005A418C"/>
    <w:rsid w:val="005A5C85"/>
    <w:rsid w:val="005A6A9B"/>
    <w:rsid w:val="005B0220"/>
    <w:rsid w:val="005B0388"/>
    <w:rsid w:val="005B040C"/>
    <w:rsid w:val="005B1362"/>
    <w:rsid w:val="005B32F2"/>
    <w:rsid w:val="005B4612"/>
    <w:rsid w:val="005B632B"/>
    <w:rsid w:val="005C066C"/>
    <w:rsid w:val="005C0880"/>
    <w:rsid w:val="005C1E7B"/>
    <w:rsid w:val="005C4EDB"/>
    <w:rsid w:val="005C5CF7"/>
    <w:rsid w:val="005D0445"/>
    <w:rsid w:val="005D3431"/>
    <w:rsid w:val="005D4BBD"/>
    <w:rsid w:val="005D6A2C"/>
    <w:rsid w:val="005D6F0A"/>
    <w:rsid w:val="005E2190"/>
    <w:rsid w:val="005E4BE2"/>
    <w:rsid w:val="005E4E4D"/>
    <w:rsid w:val="005E59DF"/>
    <w:rsid w:val="005E6C02"/>
    <w:rsid w:val="005F009B"/>
    <w:rsid w:val="005F0FCF"/>
    <w:rsid w:val="005F4452"/>
    <w:rsid w:val="005F5E95"/>
    <w:rsid w:val="005F61D0"/>
    <w:rsid w:val="005F7E89"/>
    <w:rsid w:val="00600862"/>
    <w:rsid w:val="00604A17"/>
    <w:rsid w:val="00606689"/>
    <w:rsid w:val="006108AF"/>
    <w:rsid w:val="006119A7"/>
    <w:rsid w:val="00613C40"/>
    <w:rsid w:val="006147A2"/>
    <w:rsid w:val="0061515F"/>
    <w:rsid w:val="006152B6"/>
    <w:rsid w:val="0061683E"/>
    <w:rsid w:val="00621A1C"/>
    <w:rsid w:val="0062219B"/>
    <w:rsid w:val="0062288B"/>
    <w:rsid w:val="00622A67"/>
    <w:rsid w:val="00622BE9"/>
    <w:rsid w:val="00622C6F"/>
    <w:rsid w:val="00622CB4"/>
    <w:rsid w:val="00623582"/>
    <w:rsid w:val="0062363E"/>
    <w:rsid w:val="006250FC"/>
    <w:rsid w:val="00625800"/>
    <w:rsid w:val="00632E3C"/>
    <w:rsid w:val="006349DC"/>
    <w:rsid w:val="006367F5"/>
    <w:rsid w:val="00636EF0"/>
    <w:rsid w:val="00637BC2"/>
    <w:rsid w:val="0064000C"/>
    <w:rsid w:val="00641ACD"/>
    <w:rsid w:val="00642D78"/>
    <w:rsid w:val="006432D9"/>
    <w:rsid w:val="006440D3"/>
    <w:rsid w:val="006465BC"/>
    <w:rsid w:val="0064666A"/>
    <w:rsid w:val="00646CB0"/>
    <w:rsid w:val="00655B95"/>
    <w:rsid w:val="00655D1A"/>
    <w:rsid w:val="00660288"/>
    <w:rsid w:val="00660B43"/>
    <w:rsid w:val="00661C27"/>
    <w:rsid w:val="0066278F"/>
    <w:rsid w:val="006630BE"/>
    <w:rsid w:val="0066449F"/>
    <w:rsid w:val="006651B8"/>
    <w:rsid w:val="00670034"/>
    <w:rsid w:val="006708DB"/>
    <w:rsid w:val="00674983"/>
    <w:rsid w:val="00675BCB"/>
    <w:rsid w:val="006802D5"/>
    <w:rsid w:val="00683378"/>
    <w:rsid w:val="00683881"/>
    <w:rsid w:val="00683E71"/>
    <w:rsid w:val="0068615A"/>
    <w:rsid w:val="00686476"/>
    <w:rsid w:val="00686C2F"/>
    <w:rsid w:val="00686F7F"/>
    <w:rsid w:val="006870ED"/>
    <w:rsid w:val="00687D25"/>
    <w:rsid w:val="00693BBF"/>
    <w:rsid w:val="006A1732"/>
    <w:rsid w:val="006A3357"/>
    <w:rsid w:val="006A51CB"/>
    <w:rsid w:val="006A53C1"/>
    <w:rsid w:val="006A67F9"/>
    <w:rsid w:val="006A6BCD"/>
    <w:rsid w:val="006A7339"/>
    <w:rsid w:val="006B1A99"/>
    <w:rsid w:val="006B20DA"/>
    <w:rsid w:val="006B2AA3"/>
    <w:rsid w:val="006B3DB2"/>
    <w:rsid w:val="006B4083"/>
    <w:rsid w:val="006B6B71"/>
    <w:rsid w:val="006B6BC5"/>
    <w:rsid w:val="006B7C08"/>
    <w:rsid w:val="006B7D3E"/>
    <w:rsid w:val="006C0E8A"/>
    <w:rsid w:val="006C50EC"/>
    <w:rsid w:val="006C798E"/>
    <w:rsid w:val="006D0637"/>
    <w:rsid w:val="006D0F9D"/>
    <w:rsid w:val="006D1877"/>
    <w:rsid w:val="006D2E89"/>
    <w:rsid w:val="006D44B5"/>
    <w:rsid w:val="006E0458"/>
    <w:rsid w:val="006E135C"/>
    <w:rsid w:val="006E1F57"/>
    <w:rsid w:val="006E3C92"/>
    <w:rsid w:val="006E7A40"/>
    <w:rsid w:val="006F010A"/>
    <w:rsid w:val="006F0BF3"/>
    <w:rsid w:val="006F1103"/>
    <w:rsid w:val="006F2752"/>
    <w:rsid w:val="006F6C6B"/>
    <w:rsid w:val="006F72E4"/>
    <w:rsid w:val="00700467"/>
    <w:rsid w:val="0070092E"/>
    <w:rsid w:val="00702595"/>
    <w:rsid w:val="00702F3A"/>
    <w:rsid w:val="007041A4"/>
    <w:rsid w:val="0070562F"/>
    <w:rsid w:val="00705AE8"/>
    <w:rsid w:val="00705AED"/>
    <w:rsid w:val="00710D2B"/>
    <w:rsid w:val="0071229B"/>
    <w:rsid w:val="00715208"/>
    <w:rsid w:val="00715CD6"/>
    <w:rsid w:val="00715E56"/>
    <w:rsid w:val="0071709B"/>
    <w:rsid w:val="00722480"/>
    <w:rsid w:val="00722F0B"/>
    <w:rsid w:val="007237A2"/>
    <w:rsid w:val="0072534F"/>
    <w:rsid w:val="00732427"/>
    <w:rsid w:val="00735BA4"/>
    <w:rsid w:val="00735FB8"/>
    <w:rsid w:val="007376A0"/>
    <w:rsid w:val="007377D6"/>
    <w:rsid w:val="0073794C"/>
    <w:rsid w:val="0074159D"/>
    <w:rsid w:val="007427ED"/>
    <w:rsid w:val="00747F3E"/>
    <w:rsid w:val="00751C8F"/>
    <w:rsid w:val="00755283"/>
    <w:rsid w:val="00755998"/>
    <w:rsid w:val="00756EBD"/>
    <w:rsid w:val="00757824"/>
    <w:rsid w:val="00760A3E"/>
    <w:rsid w:val="007641E1"/>
    <w:rsid w:val="00764DD7"/>
    <w:rsid w:val="00765408"/>
    <w:rsid w:val="00765FA8"/>
    <w:rsid w:val="007665A1"/>
    <w:rsid w:val="0076670C"/>
    <w:rsid w:val="00767655"/>
    <w:rsid w:val="0077174C"/>
    <w:rsid w:val="00771DED"/>
    <w:rsid w:val="007729CF"/>
    <w:rsid w:val="00772A32"/>
    <w:rsid w:val="00772F28"/>
    <w:rsid w:val="00773BD1"/>
    <w:rsid w:val="00776997"/>
    <w:rsid w:val="007771F1"/>
    <w:rsid w:val="0077789E"/>
    <w:rsid w:val="0078009F"/>
    <w:rsid w:val="007800FF"/>
    <w:rsid w:val="00780B44"/>
    <w:rsid w:val="00785A30"/>
    <w:rsid w:val="007863C9"/>
    <w:rsid w:val="00786482"/>
    <w:rsid w:val="0078689B"/>
    <w:rsid w:val="00787F94"/>
    <w:rsid w:val="00791AC5"/>
    <w:rsid w:val="007930F7"/>
    <w:rsid w:val="007931B7"/>
    <w:rsid w:val="0079451E"/>
    <w:rsid w:val="007951F5"/>
    <w:rsid w:val="007958F5"/>
    <w:rsid w:val="00797E96"/>
    <w:rsid w:val="007A1253"/>
    <w:rsid w:val="007A1561"/>
    <w:rsid w:val="007A2790"/>
    <w:rsid w:val="007A43A0"/>
    <w:rsid w:val="007A5B56"/>
    <w:rsid w:val="007A6401"/>
    <w:rsid w:val="007A7553"/>
    <w:rsid w:val="007B0EFB"/>
    <w:rsid w:val="007B11F3"/>
    <w:rsid w:val="007B2D22"/>
    <w:rsid w:val="007B319E"/>
    <w:rsid w:val="007B49E5"/>
    <w:rsid w:val="007B5E8F"/>
    <w:rsid w:val="007B73F7"/>
    <w:rsid w:val="007B7FE4"/>
    <w:rsid w:val="007C40CD"/>
    <w:rsid w:val="007C5ED4"/>
    <w:rsid w:val="007C6C0A"/>
    <w:rsid w:val="007D03FB"/>
    <w:rsid w:val="007D1106"/>
    <w:rsid w:val="007D14C8"/>
    <w:rsid w:val="007D462C"/>
    <w:rsid w:val="007D471D"/>
    <w:rsid w:val="007D4B17"/>
    <w:rsid w:val="007D4CF2"/>
    <w:rsid w:val="007D6889"/>
    <w:rsid w:val="007D74D9"/>
    <w:rsid w:val="007D7EBE"/>
    <w:rsid w:val="007E026C"/>
    <w:rsid w:val="007E412C"/>
    <w:rsid w:val="007E43ED"/>
    <w:rsid w:val="007E4EED"/>
    <w:rsid w:val="007E554B"/>
    <w:rsid w:val="007E682C"/>
    <w:rsid w:val="007E7EFE"/>
    <w:rsid w:val="007F10F6"/>
    <w:rsid w:val="007F33E6"/>
    <w:rsid w:val="007F4308"/>
    <w:rsid w:val="007F6774"/>
    <w:rsid w:val="007F67EA"/>
    <w:rsid w:val="007F691E"/>
    <w:rsid w:val="007F766B"/>
    <w:rsid w:val="007F76A0"/>
    <w:rsid w:val="008015C0"/>
    <w:rsid w:val="00802457"/>
    <w:rsid w:val="00802B3F"/>
    <w:rsid w:val="00805209"/>
    <w:rsid w:val="008111CB"/>
    <w:rsid w:val="0081135D"/>
    <w:rsid w:val="00812147"/>
    <w:rsid w:val="00813EB2"/>
    <w:rsid w:val="008142C3"/>
    <w:rsid w:val="00816C7C"/>
    <w:rsid w:val="00820446"/>
    <w:rsid w:val="008218D0"/>
    <w:rsid w:val="0082213E"/>
    <w:rsid w:val="00823D32"/>
    <w:rsid w:val="008256B4"/>
    <w:rsid w:val="008313F1"/>
    <w:rsid w:val="00835C08"/>
    <w:rsid w:val="008363C9"/>
    <w:rsid w:val="0084107E"/>
    <w:rsid w:val="00844E3C"/>
    <w:rsid w:val="0084676F"/>
    <w:rsid w:val="00846BF0"/>
    <w:rsid w:val="008501D2"/>
    <w:rsid w:val="00852E3F"/>
    <w:rsid w:val="00854BEC"/>
    <w:rsid w:val="008561B4"/>
    <w:rsid w:val="00856355"/>
    <w:rsid w:val="00862E78"/>
    <w:rsid w:val="008638E3"/>
    <w:rsid w:val="0086436C"/>
    <w:rsid w:val="00865044"/>
    <w:rsid w:val="00865AB8"/>
    <w:rsid w:val="00865D87"/>
    <w:rsid w:val="00866151"/>
    <w:rsid w:val="008665A7"/>
    <w:rsid w:val="00866755"/>
    <w:rsid w:val="00870883"/>
    <w:rsid w:val="008713B7"/>
    <w:rsid w:val="00872DC4"/>
    <w:rsid w:val="0087338D"/>
    <w:rsid w:val="00880EBA"/>
    <w:rsid w:val="00881843"/>
    <w:rsid w:val="008824C2"/>
    <w:rsid w:val="00886617"/>
    <w:rsid w:val="00886B0B"/>
    <w:rsid w:val="00887ACE"/>
    <w:rsid w:val="00890F9E"/>
    <w:rsid w:val="00892306"/>
    <w:rsid w:val="00892BA3"/>
    <w:rsid w:val="00892FEE"/>
    <w:rsid w:val="00895A74"/>
    <w:rsid w:val="00897E35"/>
    <w:rsid w:val="008A0158"/>
    <w:rsid w:val="008A33D2"/>
    <w:rsid w:val="008A34D7"/>
    <w:rsid w:val="008A55AB"/>
    <w:rsid w:val="008A7201"/>
    <w:rsid w:val="008B11AF"/>
    <w:rsid w:val="008B30C7"/>
    <w:rsid w:val="008B45D2"/>
    <w:rsid w:val="008C15B2"/>
    <w:rsid w:val="008C2239"/>
    <w:rsid w:val="008C3E79"/>
    <w:rsid w:val="008C4665"/>
    <w:rsid w:val="008C65AA"/>
    <w:rsid w:val="008C6928"/>
    <w:rsid w:val="008C6ED0"/>
    <w:rsid w:val="008D0A85"/>
    <w:rsid w:val="008D37CE"/>
    <w:rsid w:val="008D5198"/>
    <w:rsid w:val="008D5F27"/>
    <w:rsid w:val="008D6016"/>
    <w:rsid w:val="008E2F86"/>
    <w:rsid w:val="008E3F85"/>
    <w:rsid w:val="008E4B38"/>
    <w:rsid w:val="008E5D5A"/>
    <w:rsid w:val="008E638F"/>
    <w:rsid w:val="008F093C"/>
    <w:rsid w:val="008F0E04"/>
    <w:rsid w:val="008F7B3E"/>
    <w:rsid w:val="00902C03"/>
    <w:rsid w:val="009032C6"/>
    <w:rsid w:val="00905676"/>
    <w:rsid w:val="00907C38"/>
    <w:rsid w:val="00907F43"/>
    <w:rsid w:val="00910925"/>
    <w:rsid w:val="0091145D"/>
    <w:rsid w:val="0091152E"/>
    <w:rsid w:val="00911BA9"/>
    <w:rsid w:val="00911D4A"/>
    <w:rsid w:val="00915B9C"/>
    <w:rsid w:val="009167C1"/>
    <w:rsid w:val="009171A7"/>
    <w:rsid w:val="00923023"/>
    <w:rsid w:val="009248B9"/>
    <w:rsid w:val="00925476"/>
    <w:rsid w:val="00926FC0"/>
    <w:rsid w:val="00927B0E"/>
    <w:rsid w:val="00930B99"/>
    <w:rsid w:val="00931348"/>
    <w:rsid w:val="00931DF9"/>
    <w:rsid w:val="00932F5E"/>
    <w:rsid w:val="0093346F"/>
    <w:rsid w:val="009350B1"/>
    <w:rsid w:val="00935460"/>
    <w:rsid w:val="00935E53"/>
    <w:rsid w:val="00937FE1"/>
    <w:rsid w:val="00944033"/>
    <w:rsid w:val="00944F16"/>
    <w:rsid w:val="009450B4"/>
    <w:rsid w:val="00950E4D"/>
    <w:rsid w:val="00954828"/>
    <w:rsid w:val="00955042"/>
    <w:rsid w:val="009562F8"/>
    <w:rsid w:val="00956DFF"/>
    <w:rsid w:val="00956F86"/>
    <w:rsid w:val="00960679"/>
    <w:rsid w:val="00964376"/>
    <w:rsid w:val="00965E40"/>
    <w:rsid w:val="00966149"/>
    <w:rsid w:val="00967A39"/>
    <w:rsid w:val="00967EA3"/>
    <w:rsid w:val="0097179A"/>
    <w:rsid w:val="009733C8"/>
    <w:rsid w:val="00973C99"/>
    <w:rsid w:val="00974185"/>
    <w:rsid w:val="009757A2"/>
    <w:rsid w:val="009759B4"/>
    <w:rsid w:val="009773EF"/>
    <w:rsid w:val="00977836"/>
    <w:rsid w:val="009806AD"/>
    <w:rsid w:val="00982AE8"/>
    <w:rsid w:val="009876EC"/>
    <w:rsid w:val="00987EDD"/>
    <w:rsid w:val="00992A0D"/>
    <w:rsid w:val="00994F87"/>
    <w:rsid w:val="009A0BCC"/>
    <w:rsid w:val="009A1693"/>
    <w:rsid w:val="009A31C8"/>
    <w:rsid w:val="009A3CBB"/>
    <w:rsid w:val="009A7782"/>
    <w:rsid w:val="009B19C7"/>
    <w:rsid w:val="009B1F71"/>
    <w:rsid w:val="009B4AC7"/>
    <w:rsid w:val="009B4AE2"/>
    <w:rsid w:val="009B4F6A"/>
    <w:rsid w:val="009B5FD4"/>
    <w:rsid w:val="009B6D4B"/>
    <w:rsid w:val="009C127F"/>
    <w:rsid w:val="009C13DF"/>
    <w:rsid w:val="009C22C6"/>
    <w:rsid w:val="009C2A0F"/>
    <w:rsid w:val="009C4733"/>
    <w:rsid w:val="009C47A3"/>
    <w:rsid w:val="009C5688"/>
    <w:rsid w:val="009C6733"/>
    <w:rsid w:val="009C7032"/>
    <w:rsid w:val="009D68ED"/>
    <w:rsid w:val="009D7149"/>
    <w:rsid w:val="009D72E7"/>
    <w:rsid w:val="009D7BF4"/>
    <w:rsid w:val="009E1D49"/>
    <w:rsid w:val="009E217C"/>
    <w:rsid w:val="009E43CD"/>
    <w:rsid w:val="009E7110"/>
    <w:rsid w:val="009E7401"/>
    <w:rsid w:val="009F09FA"/>
    <w:rsid w:val="009F16FB"/>
    <w:rsid w:val="009F75C1"/>
    <w:rsid w:val="00A02908"/>
    <w:rsid w:val="00A03244"/>
    <w:rsid w:val="00A05220"/>
    <w:rsid w:val="00A05C43"/>
    <w:rsid w:val="00A0608F"/>
    <w:rsid w:val="00A1059A"/>
    <w:rsid w:val="00A10606"/>
    <w:rsid w:val="00A10D67"/>
    <w:rsid w:val="00A11D0A"/>
    <w:rsid w:val="00A129D7"/>
    <w:rsid w:val="00A13EF7"/>
    <w:rsid w:val="00A1427C"/>
    <w:rsid w:val="00A15485"/>
    <w:rsid w:val="00A155D5"/>
    <w:rsid w:val="00A15757"/>
    <w:rsid w:val="00A159F9"/>
    <w:rsid w:val="00A169C8"/>
    <w:rsid w:val="00A16CAA"/>
    <w:rsid w:val="00A17A67"/>
    <w:rsid w:val="00A210F1"/>
    <w:rsid w:val="00A21DED"/>
    <w:rsid w:val="00A24606"/>
    <w:rsid w:val="00A2494E"/>
    <w:rsid w:val="00A2563A"/>
    <w:rsid w:val="00A25CD0"/>
    <w:rsid w:val="00A26428"/>
    <w:rsid w:val="00A26BAE"/>
    <w:rsid w:val="00A316EF"/>
    <w:rsid w:val="00A33C1E"/>
    <w:rsid w:val="00A34F6B"/>
    <w:rsid w:val="00A370F1"/>
    <w:rsid w:val="00A37BD5"/>
    <w:rsid w:val="00A42158"/>
    <w:rsid w:val="00A425FD"/>
    <w:rsid w:val="00A43C5C"/>
    <w:rsid w:val="00A446AF"/>
    <w:rsid w:val="00A451E3"/>
    <w:rsid w:val="00A45668"/>
    <w:rsid w:val="00A47F74"/>
    <w:rsid w:val="00A5206A"/>
    <w:rsid w:val="00A5208D"/>
    <w:rsid w:val="00A53B5B"/>
    <w:rsid w:val="00A54387"/>
    <w:rsid w:val="00A572B4"/>
    <w:rsid w:val="00A60D13"/>
    <w:rsid w:val="00A63043"/>
    <w:rsid w:val="00A642DC"/>
    <w:rsid w:val="00A65412"/>
    <w:rsid w:val="00A66051"/>
    <w:rsid w:val="00A672EA"/>
    <w:rsid w:val="00A673EA"/>
    <w:rsid w:val="00A7290B"/>
    <w:rsid w:val="00A738BD"/>
    <w:rsid w:val="00A7565F"/>
    <w:rsid w:val="00A81AAA"/>
    <w:rsid w:val="00A81C5A"/>
    <w:rsid w:val="00A832E0"/>
    <w:rsid w:val="00A8596C"/>
    <w:rsid w:val="00A86063"/>
    <w:rsid w:val="00A862F2"/>
    <w:rsid w:val="00A879BE"/>
    <w:rsid w:val="00A879E7"/>
    <w:rsid w:val="00A92224"/>
    <w:rsid w:val="00A93077"/>
    <w:rsid w:val="00A936C9"/>
    <w:rsid w:val="00A958F1"/>
    <w:rsid w:val="00AA1F3F"/>
    <w:rsid w:val="00AA1FD5"/>
    <w:rsid w:val="00AA5378"/>
    <w:rsid w:val="00AA64BD"/>
    <w:rsid w:val="00AA72D2"/>
    <w:rsid w:val="00AB07A4"/>
    <w:rsid w:val="00AB4B30"/>
    <w:rsid w:val="00AC2B9D"/>
    <w:rsid w:val="00AC5844"/>
    <w:rsid w:val="00AD176F"/>
    <w:rsid w:val="00AD2668"/>
    <w:rsid w:val="00AD3D76"/>
    <w:rsid w:val="00AD424A"/>
    <w:rsid w:val="00AD6315"/>
    <w:rsid w:val="00AD7E3D"/>
    <w:rsid w:val="00AE14F7"/>
    <w:rsid w:val="00AE1745"/>
    <w:rsid w:val="00AE5D64"/>
    <w:rsid w:val="00AF0BDB"/>
    <w:rsid w:val="00AF14F8"/>
    <w:rsid w:val="00AF71B5"/>
    <w:rsid w:val="00B02BCB"/>
    <w:rsid w:val="00B1211F"/>
    <w:rsid w:val="00B122A6"/>
    <w:rsid w:val="00B12A21"/>
    <w:rsid w:val="00B1641C"/>
    <w:rsid w:val="00B166EB"/>
    <w:rsid w:val="00B21887"/>
    <w:rsid w:val="00B22E80"/>
    <w:rsid w:val="00B24B95"/>
    <w:rsid w:val="00B25628"/>
    <w:rsid w:val="00B26098"/>
    <w:rsid w:val="00B26707"/>
    <w:rsid w:val="00B26BBB"/>
    <w:rsid w:val="00B2770E"/>
    <w:rsid w:val="00B31475"/>
    <w:rsid w:val="00B337F4"/>
    <w:rsid w:val="00B35AC8"/>
    <w:rsid w:val="00B35FE1"/>
    <w:rsid w:val="00B36465"/>
    <w:rsid w:val="00B41F7E"/>
    <w:rsid w:val="00B45C8E"/>
    <w:rsid w:val="00B46ACA"/>
    <w:rsid w:val="00B479A3"/>
    <w:rsid w:val="00B50EB5"/>
    <w:rsid w:val="00B51045"/>
    <w:rsid w:val="00B555C3"/>
    <w:rsid w:val="00B5728D"/>
    <w:rsid w:val="00B617BF"/>
    <w:rsid w:val="00B62606"/>
    <w:rsid w:val="00B62983"/>
    <w:rsid w:val="00B709AA"/>
    <w:rsid w:val="00B71226"/>
    <w:rsid w:val="00B73F2A"/>
    <w:rsid w:val="00B7707E"/>
    <w:rsid w:val="00B779DD"/>
    <w:rsid w:val="00B86427"/>
    <w:rsid w:val="00B872FF"/>
    <w:rsid w:val="00B8744C"/>
    <w:rsid w:val="00B92FB7"/>
    <w:rsid w:val="00BA304E"/>
    <w:rsid w:val="00BA7029"/>
    <w:rsid w:val="00BA743A"/>
    <w:rsid w:val="00BB3B24"/>
    <w:rsid w:val="00BB4041"/>
    <w:rsid w:val="00BB502B"/>
    <w:rsid w:val="00BB541B"/>
    <w:rsid w:val="00BB605A"/>
    <w:rsid w:val="00BB68D8"/>
    <w:rsid w:val="00BB69C9"/>
    <w:rsid w:val="00BB6C0C"/>
    <w:rsid w:val="00BC166F"/>
    <w:rsid w:val="00BC1B9F"/>
    <w:rsid w:val="00BC265D"/>
    <w:rsid w:val="00BC2834"/>
    <w:rsid w:val="00BC2DA7"/>
    <w:rsid w:val="00BC66AF"/>
    <w:rsid w:val="00BC6EFE"/>
    <w:rsid w:val="00BC7278"/>
    <w:rsid w:val="00BD32CE"/>
    <w:rsid w:val="00BD62E5"/>
    <w:rsid w:val="00BE0FD4"/>
    <w:rsid w:val="00BE22C7"/>
    <w:rsid w:val="00BE2E2C"/>
    <w:rsid w:val="00BF1D9D"/>
    <w:rsid w:val="00BF2734"/>
    <w:rsid w:val="00BF2C9B"/>
    <w:rsid w:val="00BF3CB7"/>
    <w:rsid w:val="00BF4532"/>
    <w:rsid w:val="00BF52E9"/>
    <w:rsid w:val="00BF55A9"/>
    <w:rsid w:val="00BF7846"/>
    <w:rsid w:val="00C01DF8"/>
    <w:rsid w:val="00C02823"/>
    <w:rsid w:val="00C031C2"/>
    <w:rsid w:val="00C0450E"/>
    <w:rsid w:val="00C051CC"/>
    <w:rsid w:val="00C058C1"/>
    <w:rsid w:val="00C06050"/>
    <w:rsid w:val="00C10400"/>
    <w:rsid w:val="00C11C18"/>
    <w:rsid w:val="00C147EB"/>
    <w:rsid w:val="00C14CF7"/>
    <w:rsid w:val="00C156E6"/>
    <w:rsid w:val="00C15767"/>
    <w:rsid w:val="00C15C5F"/>
    <w:rsid w:val="00C15D11"/>
    <w:rsid w:val="00C15E87"/>
    <w:rsid w:val="00C168E7"/>
    <w:rsid w:val="00C17479"/>
    <w:rsid w:val="00C17674"/>
    <w:rsid w:val="00C177B3"/>
    <w:rsid w:val="00C203DC"/>
    <w:rsid w:val="00C2072B"/>
    <w:rsid w:val="00C20E44"/>
    <w:rsid w:val="00C22948"/>
    <w:rsid w:val="00C23812"/>
    <w:rsid w:val="00C23BCB"/>
    <w:rsid w:val="00C243E5"/>
    <w:rsid w:val="00C25CB1"/>
    <w:rsid w:val="00C26B48"/>
    <w:rsid w:val="00C31B53"/>
    <w:rsid w:val="00C31DBC"/>
    <w:rsid w:val="00C32880"/>
    <w:rsid w:val="00C35FB3"/>
    <w:rsid w:val="00C36249"/>
    <w:rsid w:val="00C37D84"/>
    <w:rsid w:val="00C42C4C"/>
    <w:rsid w:val="00C45A4D"/>
    <w:rsid w:val="00C4659A"/>
    <w:rsid w:val="00C478A5"/>
    <w:rsid w:val="00C50E7B"/>
    <w:rsid w:val="00C5143E"/>
    <w:rsid w:val="00C52AD2"/>
    <w:rsid w:val="00C53A64"/>
    <w:rsid w:val="00C5478E"/>
    <w:rsid w:val="00C5576F"/>
    <w:rsid w:val="00C56421"/>
    <w:rsid w:val="00C56DA1"/>
    <w:rsid w:val="00C574C2"/>
    <w:rsid w:val="00C61916"/>
    <w:rsid w:val="00C62C8A"/>
    <w:rsid w:val="00C6362B"/>
    <w:rsid w:val="00C648AB"/>
    <w:rsid w:val="00C66333"/>
    <w:rsid w:val="00C6755C"/>
    <w:rsid w:val="00C72391"/>
    <w:rsid w:val="00C73AC5"/>
    <w:rsid w:val="00C75ADD"/>
    <w:rsid w:val="00C7695E"/>
    <w:rsid w:val="00C76C74"/>
    <w:rsid w:val="00C7743D"/>
    <w:rsid w:val="00C80052"/>
    <w:rsid w:val="00C8173E"/>
    <w:rsid w:val="00C82271"/>
    <w:rsid w:val="00C82497"/>
    <w:rsid w:val="00C84DF5"/>
    <w:rsid w:val="00C906D0"/>
    <w:rsid w:val="00C90B5E"/>
    <w:rsid w:val="00C937CD"/>
    <w:rsid w:val="00C97B72"/>
    <w:rsid w:val="00CA25C0"/>
    <w:rsid w:val="00CA2957"/>
    <w:rsid w:val="00CA3131"/>
    <w:rsid w:val="00CA5480"/>
    <w:rsid w:val="00CA7AE7"/>
    <w:rsid w:val="00CB096F"/>
    <w:rsid w:val="00CB0BC4"/>
    <w:rsid w:val="00CB1AA8"/>
    <w:rsid w:val="00CB3BEF"/>
    <w:rsid w:val="00CB7F3A"/>
    <w:rsid w:val="00CC0E03"/>
    <w:rsid w:val="00CC1061"/>
    <w:rsid w:val="00CC1135"/>
    <w:rsid w:val="00CC18DE"/>
    <w:rsid w:val="00CC753B"/>
    <w:rsid w:val="00CD08D3"/>
    <w:rsid w:val="00CD2191"/>
    <w:rsid w:val="00CD35C2"/>
    <w:rsid w:val="00CD44FF"/>
    <w:rsid w:val="00CD49B5"/>
    <w:rsid w:val="00CD5B66"/>
    <w:rsid w:val="00CD78BA"/>
    <w:rsid w:val="00CE013E"/>
    <w:rsid w:val="00CE25F9"/>
    <w:rsid w:val="00CE6F3E"/>
    <w:rsid w:val="00CE7CBB"/>
    <w:rsid w:val="00CE7D04"/>
    <w:rsid w:val="00CE7D40"/>
    <w:rsid w:val="00CF14A4"/>
    <w:rsid w:val="00CF534B"/>
    <w:rsid w:val="00CF5FA3"/>
    <w:rsid w:val="00CF660D"/>
    <w:rsid w:val="00CF7C6C"/>
    <w:rsid w:val="00D01D87"/>
    <w:rsid w:val="00D03F5B"/>
    <w:rsid w:val="00D05F52"/>
    <w:rsid w:val="00D06A92"/>
    <w:rsid w:val="00D107B9"/>
    <w:rsid w:val="00D11440"/>
    <w:rsid w:val="00D13C0D"/>
    <w:rsid w:val="00D1400F"/>
    <w:rsid w:val="00D1421F"/>
    <w:rsid w:val="00D1516F"/>
    <w:rsid w:val="00D15D59"/>
    <w:rsid w:val="00D16FB6"/>
    <w:rsid w:val="00D17965"/>
    <w:rsid w:val="00D21E00"/>
    <w:rsid w:val="00D229AB"/>
    <w:rsid w:val="00D2450F"/>
    <w:rsid w:val="00D25EF0"/>
    <w:rsid w:val="00D26524"/>
    <w:rsid w:val="00D27502"/>
    <w:rsid w:val="00D301DE"/>
    <w:rsid w:val="00D311E2"/>
    <w:rsid w:val="00D31DCD"/>
    <w:rsid w:val="00D32F87"/>
    <w:rsid w:val="00D35572"/>
    <w:rsid w:val="00D35886"/>
    <w:rsid w:val="00D366A3"/>
    <w:rsid w:val="00D369F8"/>
    <w:rsid w:val="00D41159"/>
    <w:rsid w:val="00D42406"/>
    <w:rsid w:val="00D42AE9"/>
    <w:rsid w:val="00D42DFF"/>
    <w:rsid w:val="00D43DA1"/>
    <w:rsid w:val="00D50DD0"/>
    <w:rsid w:val="00D516C0"/>
    <w:rsid w:val="00D52451"/>
    <w:rsid w:val="00D534BD"/>
    <w:rsid w:val="00D5393D"/>
    <w:rsid w:val="00D543CA"/>
    <w:rsid w:val="00D561D6"/>
    <w:rsid w:val="00D605A6"/>
    <w:rsid w:val="00D60ECD"/>
    <w:rsid w:val="00D63133"/>
    <w:rsid w:val="00D64566"/>
    <w:rsid w:val="00D64CE7"/>
    <w:rsid w:val="00D6528C"/>
    <w:rsid w:val="00D65C5C"/>
    <w:rsid w:val="00D70E6D"/>
    <w:rsid w:val="00D765B0"/>
    <w:rsid w:val="00D81279"/>
    <w:rsid w:val="00D84657"/>
    <w:rsid w:val="00D856FE"/>
    <w:rsid w:val="00D91F12"/>
    <w:rsid w:val="00D92502"/>
    <w:rsid w:val="00D95C81"/>
    <w:rsid w:val="00D9621E"/>
    <w:rsid w:val="00D97ED6"/>
    <w:rsid w:val="00DA0195"/>
    <w:rsid w:val="00DA1ACD"/>
    <w:rsid w:val="00DA2D8D"/>
    <w:rsid w:val="00DA4EE9"/>
    <w:rsid w:val="00DA510D"/>
    <w:rsid w:val="00DA688F"/>
    <w:rsid w:val="00DA72B5"/>
    <w:rsid w:val="00DB2811"/>
    <w:rsid w:val="00DB6B7C"/>
    <w:rsid w:val="00DB74AA"/>
    <w:rsid w:val="00DC0A94"/>
    <w:rsid w:val="00DC47EC"/>
    <w:rsid w:val="00DC729A"/>
    <w:rsid w:val="00DC7751"/>
    <w:rsid w:val="00DD2C12"/>
    <w:rsid w:val="00DD3069"/>
    <w:rsid w:val="00DD44F2"/>
    <w:rsid w:val="00DD50FB"/>
    <w:rsid w:val="00DD5255"/>
    <w:rsid w:val="00DD65C2"/>
    <w:rsid w:val="00DD7EA4"/>
    <w:rsid w:val="00DE04CF"/>
    <w:rsid w:val="00DE078E"/>
    <w:rsid w:val="00DE0E00"/>
    <w:rsid w:val="00DE4D06"/>
    <w:rsid w:val="00DE5BD0"/>
    <w:rsid w:val="00DF1347"/>
    <w:rsid w:val="00DF14C1"/>
    <w:rsid w:val="00DF3AFE"/>
    <w:rsid w:val="00DF45D8"/>
    <w:rsid w:val="00DF4CC9"/>
    <w:rsid w:val="00DF69EC"/>
    <w:rsid w:val="00E0060C"/>
    <w:rsid w:val="00E00647"/>
    <w:rsid w:val="00E01618"/>
    <w:rsid w:val="00E022B7"/>
    <w:rsid w:val="00E02633"/>
    <w:rsid w:val="00E02848"/>
    <w:rsid w:val="00E039E5"/>
    <w:rsid w:val="00E03A40"/>
    <w:rsid w:val="00E03EA0"/>
    <w:rsid w:val="00E04F7D"/>
    <w:rsid w:val="00E148F4"/>
    <w:rsid w:val="00E15D0D"/>
    <w:rsid w:val="00E1630D"/>
    <w:rsid w:val="00E1642F"/>
    <w:rsid w:val="00E22D93"/>
    <w:rsid w:val="00E23AF0"/>
    <w:rsid w:val="00E24193"/>
    <w:rsid w:val="00E25D6B"/>
    <w:rsid w:val="00E25F7A"/>
    <w:rsid w:val="00E2621A"/>
    <w:rsid w:val="00E269C6"/>
    <w:rsid w:val="00E30345"/>
    <w:rsid w:val="00E32162"/>
    <w:rsid w:val="00E32C45"/>
    <w:rsid w:val="00E32C6E"/>
    <w:rsid w:val="00E34495"/>
    <w:rsid w:val="00E346AB"/>
    <w:rsid w:val="00E35531"/>
    <w:rsid w:val="00E35853"/>
    <w:rsid w:val="00E423BA"/>
    <w:rsid w:val="00E42558"/>
    <w:rsid w:val="00E44ADB"/>
    <w:rsid w:val="00E44B96"/>
    <w:rsid w:val="00E44BBF"/>
    <w:rsid w:val="00E45B27"/>
    <w:rsid w:val="00E50494"/>
    <w:rsid w:val="00E50A07"/>
    <w:rsid w:val="00E5261C"/>
    <w:rsid w:val="00E53E1C"/>
    <w:rsid w:val="00E53E99"/>
    <w:rsid w:val="00E550CF"/>
    <w:rsid w:val="00E5530A"/>
    <w:rsid w:val="00E57A4F"/>
    <w:rsid w:val="00E6122C"/>
    <w:rsid w:val="00E61E05"/>
    <w:rsid w:val="00E63565"/>
    <w:rsid w:val="00E662BA"/>
    <w:rsid w:val="00E66EE7"/>
    <w:rsid w:val="00E722AA"/>
    <w:rsid w:val="00E747DB"/>
    <w:rsid w:val="00E7566B"/>
    <w:rsid w:val="00E83039"/>
    <w:rsid w:val="00E839F1"/>
    <w:rsid w:val="00E86201"/>
    <w:rsid w:val="00E9234B"/>
    <w:rsid w:val="00E927CF"/>
    <w:rsid w:val="00E93539"/>
    <w:rsid w:val="00E962EA"/>
    <w:rsid w:val="00E9756E"/>
    <w:rsid w:val="00EA27B1"/>
    <w:rsid w:val="00EA2923"/>
    <w:rsid w:val="00EA2FC8"/>
    <w:rsid w:val="00EA377F"/>
    <w:rsid w:val="00EA465B"/>
    <w:rsid w:val="00EA53DE"/>
    <w:rsid w:val="00EA6A1D"/>
    <w:rsid w:val="00EB0F53"/>
    <w:rsid w:val="00EB169D"/>
    <w:rsid w:val="00EB2171"/>
    <w:rsid w:val="00EB22A4"/>
    <w:rsid w:val="00EB3476"/>
    <w:rsid w:val="00EB4418"/>
    <w:rsid w:val="00EB5B19"/>
    <w:rsid w:val="00EB5B61"/>
    <w:rsid w:val="00EB6C79"/>
    <w:rsid w:val="00EB74D4"/>
    <w:rsid w:val="00EB7508"/>
    <w:rsid w:val="00ED0553"/>
    <w:rsid w:val="00ED09D1"/>
    <w:rsid w:val="00ED228E"/>
    <w:rsid w:val="00ED2754"/>
    <w:rsid w:val="00ED5127"/>
    <w:rsid w:val="00ED56F7"/>
    <w:rsid w:val="00EE04C3"/>
    <w:rsid w:val="00EE13B8"/>
    <w:rsid w:val="00EE2B5D"/>
    <w:rsid w:val="00EE2EA5"/>
    <w:rsid w:val="00EE3C44"/>
    <w:rsid w:val="00EE5668"/>
    <w:rsid w:val="00EE60C8"/>
    <w:rsid w:val="00EE6333"/>
    <w:rsid w:val="00EF17E9"/>
    <w:rsid w:val="00EF23AD"/>
    <w:rsid w:val="00EF2725"/>
    <w:rsid w:val="00EF3705"/>
    <w:rsid w:val="00EF4CAD"/>
    <w:rsid w:val="00EF5EFC"/>
    <w:rsid w:val="00EF6404"/>
    <w:rsid w:val="00EF6483"/>
    <w:rsid w:val="00F0113F"/>
    <w:rsid w:val="00F01A0F"/>
    <w:rsid w:val="00F01C95"/>
    <w:rsid w:val="00F01E02"/>
    <w:rsid w:val="00F031EC"/>
    <w:rsid w:val="00F03333"/>
    <w:rsid w:val="00F03466"/>
    <w:rsid w:val="00F03BAF"/>
    <w:rsid w:val="00F04997"/>
    <w:rsid w:val="00F04ACE"/>
    <w:rsid w:val="00F0641C"/>
    <w:rsid w:val="00F06F9A"/>
    <w:rsid w:val="00F110CD"/>
    <w:rsid w:val="00F1277E"/>
    <w:rsid w:val="00F134C1"/>
    <w:rsid w:val="00F14C20"/>
    <w:rsid w:val="00F16EAB"/>
    <w:rsid w:val="00F2156B"/>
    <w:rsid w:val="00F23F51"/>
    <w:rsid w:val="00F24F37"/>
    <w:rsid w:val="00F256AF"/>
    <w:rsid w:val="00F27C0A"/>
    <w:rsid w:val="00F3135D"/>
    <w:rsid w:val="00F3157C"/>
    <w:rsid w:val="00F315E7"/>
    <w:rsid w:val="00F32D9C"/>
    <w:rsid w:val="00F3411C"/>
    <w:rsid w:val="00F40044"/>
    <w:rsid w:val="00F45E15"/>
    <w:rsid w:val="00F52375"/>
    <w:rsid w:val="00F53B12"/>
    <w:rsid w:val="00F569A6"/>
    <w:rsid w:val="00F60D6B"/>
    <w:rsid w:val="00F61C74"/>
    <w:rsid w:val="00F6386D"/>
    <w:rsid w:val="00F640C5"/>
    <w:rsid w:val="00F64C2F"/>
    <w:rsid w:val="00F6589D"/>
    <w:rsid w:val="00F66011"/>
    <w:rsid w:val="00F668FF"/>
    <w:rsid w:val="00F67215"/>
    <w:rsid w:val="00F67A0C"/>
    <w:rsid w:val="00F74ED8"/>
    <w:rsid w:val="00F75349"/>
    <w:rsid w:val="00F75D9E"/>
    <w:rsid w:val="00F767D3"/>
    <w:rsid w:val="00F7721C"/>
    <w:rsid w:val="00F77AFF"/>
    <w:rsid w:val="00F807D8"/>
    <w:rsid w:val="00F87964"/>
    <w:rsid w:val="00F90F6F"/>
    <w:rsid w:val="00F914AB"/>
    <w:rsid w:val="00F93614"/>
    <w:rsid w:val="00F9402F"/>
    <w:rsid w:val="00F94D62"/>
    <w:rsid w:val="00FA033D"/>
    <w:rsid w:val="00FA0D35"/>
    <w:rsid w:val="00FA128A"/>
    <w:rsid w:val="00FA2550"/>
    <w:rsid w:val="00FA4B4A"/>
    <w:rsid w:val="00FA68CE"/>
    <w:rsid w:val="00FB11EF"/>
    <w:rsid w:val="00FB2353"/>
    <w:rsid w:val="00FB2C61"/>
    <w:rsid w:val="00FB4FB2"/>
    <w:rsid w:val="00FB5C9C"/>
    <w:rsid w:val="00FB785E"/>
    <w:rsid w:val="00FC2E9A"/>
    <w:rsid w:val="00FD24CB"/>
    <w:rsid w:val="00FD2C4E"/>
    <w:rsid w:val="00FD3F70"/>
    <w:rsid w:val="00FD47C4"/>
    <w:rsid w:val="00FD5314"/>
    <w:rsid w:val="00FD5689"/>
    <w:rsid w:val="00FD6AB9"/>
    <w:rsid w:val="00FD7625"/>
    <w:rsid w:val="00FE0428"/>
    <w:rsid w:val="00FE07C9"/>
    <w:rsid w:val="00FE3DE2"/>
    <w:rsid w:val="00FE496E"/>
    <w:rsid w:val="00FE6CAE"/>
    <w:rsid w:val="00FF00A7"/>
    <w:rsid w:val="00FF0563"/>
    <w:rsid w:val="00FF3157"/>
    <w:rsid w:val="00FF3BA7"/>
    <w:rsid w:val="00FF3D1D"/>
    <w:rsid w:val="00FF418F"/>
    <w:rsid w:val="00FF41D4"/>
    <w:rsid w:val="00FF4380"/>
    <w:rsid w:val="00FF4D2A"/>
    <w:rsid w:val="00FF58AB"/>
    <w:rsid w:val="00FF6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830E9"/>
  <w15:chartTrackingRefBased/>
  <w15:docId w15:val="{DFCCBAEB-2469-4C2E-8B7A-03843346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2306"/>
    <w:pPr>
      <w:spacing w:after="200" w:line="276" w:lineRule="auto"/>
    </w:pPr>
    <w:rPr>
      <w:sz w:val="22"/>
      <w:szCs w:val="22"/>
      <w:lang w:eastAsia="en-US"/>
    </w:rPr>
  </w:style>
  <w:style w:type="paragraph" w:styleId="Nagwek1">
    <w:name w:val="heading 1"/>
    <w:basedOn w:val="Normalny"/>
    <w:next w:val="Normalny"/>
    <w:link w:val="Nagwek1Znak"/>
    <w:uiPriority w:val="9"/>
    <w:qFormat/>
    <w:rsid w:val="00216B68"/>
    <w:pPr>
      <w:keepNext/>
      <w:spacing w:before="240" w:after="60"/>
      <w:outlineLvl w:val="0"/>
    </w:pPr>
    <w:rPr>
      <w:rFonts w:ascii="Calibri Light" w:eastAsia="Times New Roman" w:hAnsi="Calibri Light"/>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rPr>
      <w:sz w:val="22"/>
      <w:szCs w:val="22"/>
      <w:lang w:eastAsia="en-US"/>
    </w:r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723AC"/>
    <w:rPr>
      <w:rFonts w:ascii="Tahoma" w:hAnsi="Tahoma" w:cs="Tahoma"/>
      <w:sz w:val="16"/>
      <w:szCs w:val="16"/>
    </w:rPr>
  </w:style>
  <w:style w:type="character" w:styleId="Odwoaniedokomentarza">
    <w:name w:val="annotation reference"/>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link w:val="Tematkomentarza"/>
    <w:uiPriority w:val="99"/>
    <w:semiHidden/>
    <w:rsid w:val="00F16EAB"/>
    <w:rPr>
      <w:b/>
      <w:bCs/>
      <w:sz w:val="20"/>
      <w:szCs w:val="20"/>
    </w:rPr>
  </w:style>
  <w:style w:type="character" w:styleId="Pogrubienie">
    <w:name w:val="Strong"/>
    <w:uiPriority w:val="22"/>
    <w:qFormat/>
    <w:rsid w:val="00892306"/>
    <w:rPr>
      <w:b/>
      <w:bCs/>
    </w:rPr>
  </w:style>
  <w:style w:type="paragraph" w:styleId="NormalnyWeb">
    <w:name w:val="Normal (Web)"/>
    <w:basedOn w:val="Normalny"/>
    <w:uiPriority w:val="99"/>
    <w:unhideWhenUsed/>
    <w:rsid w:val="00317D71"/>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A425FD"/>
    <w:rPr>
      <w:color w:val="0563C1"/>
      <w:u w:val="single"/>
    </w:rPr>
  </w:style>
  <w:style w:type="character" w:styleId="Uwydatnienie">
    <w:name w:val="Emphasis"/>
    <w:uiPriority w:val="20"/>
    <w:qFormat/>
    <w:rsid w:val="00C5143E"/>
    <w:rPr>
      <w:i/>
      <w:iCs/>
    </w:rPr>
  </w:style>
  <w:style w:type="paragraph" w:customStyle="1" w:styleId="v1msonormal">
    <w:name w:val="v1msonormal"/>
    <w:basedOn w:val="Normalny"/>
    <w:rsid w:val="0043219C"/>
    <w:pPr>
      <w:spacing w:before="100" w:beforeAutospacing="1" w:after="100" w:afterAutospacing="1" w:line="240" w:lineRule="auto"/>
    </w:pPr>
    <w:rPr>
      <w:rFonts w:ascii="Times New Roman" w:eastAsia="Times New Roman" w:hAnsi="Times New Roman"/>
      <w:sz w:val="24"/>
      <w:szCs w:val="24"/>
      <w:lang w:eastAsia="pl-PL"/>
    </w:rPr>
  </w:style>
  <w:style w:type="table" w:styleId="Jasnalista">
    <w:name w:val="Light List"/>
    <w:basedOn w:val="Standardowy"/>
    <w:uiPriority w:val="61"/>
    <w:rsid w:val="005D6A2C"/>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Nagwek1Znak">
    <w:name w:val="Nagłówek 1 Znak"/>
    <w:link w:val="Nagwek1"/>
    <w:uiPriority w:val="9"/>
    <w:rsid w:val="00216B68"/>
    <w:rPr>
      <w:rFonts w:ascii="Calibri Light" w:eastAsia="Times New Roman" w:hAnsi="Calibri Light" w:cs="Times New Roman"/>
      <w:b/>
      <w:bCs/>
      <w:kern w:val="32"/>
      <w:sz w:val="32"/>
      <w:szCs w:val="32"/>
      <w:lang w:eastAsia="en-US"/>
    </w:rPr>
  </w:style>
  <w:style w:type="paragraph" w:styleId="Tekstprzypisudolnego">
    <w:name w:val="footnote text"/>
    <w:basedOn w:val="Normalny"/>
    <w:link w:val="TekstprzypisudolnegoZnak"/>
    <w:uiPriority w:val="99"/>
    <w:semiHidden/>
    <w:unhideWhenUsed/>
    <w:rsid w:val="004474C3"/>
    <w:rPr>
      <w:sz w:val="20"/>
      <w:szCs w:val="20"/>
    </w:rPr>
  </w:style>
  <w:style w:type="character" w:customStyle="1" w:styleId="TekstprzypisudolnegoZnak">
    <w:name w:val="Tekst przypisu dolnego Znak"/>
    <w:link w:val="Tekstprzypisudolnego"/>
    <w:uiPriority w:val="99"/>
    <w:semiHidden/>
    <w:rsid w:val="004474C3"/>
    <w:rPr>
      <w:lang w:eastAsia="en-US"/>
    </w:rPr>
  </w:style>
  <w:style w:type="character" w:styleId="Odwoanieprzypisudolnego">
    <w:name w:val="footnote reference"/>
    <w:uiPriority w:val="99"/>
    <w:semiHidden/>
    <w:unhideWhenUsed/>
    <w:rsid w:val="004474C3"/>
    <w:rPr>
      <w:vertAlign w:val="superscript"/>
    </w:rPr>
  </w:style>
  <w:style w:type="character" w:customStyle="1" w:styleId="cf01">
    <w:name w:val="cf01"/>
    <w:rsid w:val="008C3E79"/>
    <w:rPr>
      <w:rFonts w:ascii="Segoe UI" w:hAnsi="Segoe UI" w:cs="Segoe UI" w:hint="default"/>
      <w:sz w:val="18"/>
      <w:szCs w:val="18"/>
    </w:rPr>
  </w:style>
  <w:style w:type="character" w:styleId="Nierozpoznanawzmianka">
    <w:name w:val="Unresolved Mention"/>
    <w:uiPriority w:val="99"/>
    <w:semiHidden/>
    <w:unhideWhenUsed/>
    <w:rsid w:val="00B479A3"/>
    <w:rPr>
      <w:color w:val="605E5C"/>
      <w:shd w:val="clear" w:color="auto" w:fill="E1DFDD"/>
    </w:rPr>
  </w:style>
  <w:style w:type="paragraph" w:styleId="Poprawka">
    <w:name w:val="Revision"/>
    <w:hidden/>
    <w:uiPriority w:val="99"/>
    <w:semiHidden/>
    <w:rsid w:val="00BE22C7"/>
    <w:rPr>
      <w:sz w:val="22"/>
      <w:szCs w:val="22"/>
      <w:lang w:eastAsia="en-US"/>
    </w:rPr>
  </w:style>
  <w:style w:type="paragraph" w:customStyle="1" w:styleId="pf0">
    <w:name w:val="pf0"/>
    <w:basedOn w:val="Normalny"/>
    <w:rsid w:val="00A169C8"/>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4886">
      <w:bodyDiv w:val="1"/>
      <w:marLeft w:val="0"/>
      <w:marRight w:val="0"/>
      <w:marTop w:val="0"/>
      <w:marBottom w:val="0"/>
      <w:divBdr>
        <w:top w:val="none" w:sz="0" w:space="0" w:color="auto"/>
        <w:left w:val="none" w:sz="0" w:space="0" w:color="auto"/>
        <w:bottom w:val="none" w:sz="0" w:space="0" w:color="auto"/>
        <w:right w:val="none" w:sz="0" w:space="0" w:color="auto"/>
      </w:divBdr>
    </w:div>
    <w:div w:id="45616442">
      <w:bodyDiv w:val="1"/>
      <w:marLeft w:val="0"/>
      <w:marRight w:val="0"/>
      <w:marTop w:val="0"/>
      <w:marBottom w:val="0"/>
      <w:divBdr>
        <w:top w:val="none" w:sz="0" w:space="0" w:color="auto"/>
        <w:left w:val="none" w:sz="0" w:space="0" w:color="auto"/>
        <w:bottom w:val="none" w:sz="0" w:space="0" w:color="auto"/>
        <w:right w:val="none" w:sz="0" w:space="0" w:color="auto"/>
      </w:divBdr>
    </w:div>
    <w:div w:id="98575259">
      <w:bodyDiv w:val="1"/>
      <w:marLeft w:val="0"/>
      <w:marRight w:val="0"/>
      <w:marTop w:val="0"/>
      <w:marBottom w:val="0"/>
      <w:divBdr>
        <w:top w:val="none" w:sz="0" w:space="0" w:color="auto"/>
        <w:left w:val="none" w:sz="0" w:space="0" w:color="auto"/>
        <w:bottom w:val="none" w:sz="0" w:space="0" w:color="auto"/>
        <w:right w:val="none" w:sz="0" w:space="0" w:color="auto"/>
      </w:divBdr>
    </w:div>
    <w:div w:id="118185027">
      <w:bodyDiv w:val="1"/>
      <w:marLeft w:val="0"/>
      <w:marRight w:val="0"/>
      <w:marTop w:val="0"/>
      <w:marBottom w:val="0"/>
      <w:divBdr>
        <w:top w:val="none" w:sz="0" w:space="0" w:color="auto"/>
        <w:left w:val="none" w:sz="0" w:space="0" w:color="auto"/>
        <w:bottom w:val="none" w:sz="0" w:space="0" w:color="auto"/>
        <w:right w:val="none" w:sz="0" w:space="0" w:color="auto"/>
      </w:divBdr>
    </w:div>
    <w:div w:id="133258789">
      <w:bodyDiv w:val="1"/>
      <w:marLeft w:val="0"/>
      <w:marRight w:val="0"/>
      <w:marTop w:val="0"/>
      <w:marBottom w:val="0"/>
      <w:divBdr>
        <w:top w:val="none" w:sz="0" w:space="0" w:color="auto"/>
        <w:left w:val="none" w:sz="0" w:space="0" w:color="auto"/>
        <w:bottom w:val="none" w:sz="0" w:space="0" w:color="auto"/>
        <w:right w:val="none" w:sz="0" w:space="0" w:color="auto"/>
      </w:divBdr>
    </w:div>
    <w:div w:id="137260379">
      <w:bodyDiv w:val="1"/>
      <w:marLeft w:val="0"/>
      <w:marRight w:val="0"/>
      <w:marTop w:val="0"/>
      <w:marBottom w:val="0"/>
      <w:divBdr>
        <w:top w:val="none" w:sz="0" w:space="0" w:color="auto"/>
        <w:left w:val="none" w:sz="0" w:space="0" w:color="auto"/>
        <w:bottom w:val="none" w:sz="0" w:space="0" w:color="auto"/>
        <w:right w:val="none" w:sz="0" w:space="0" w:color="auto"/>
      </w:divBdr>
    </w:div>
    <w:div w:id="139077213">
      <w:bodyDiv w:val="1"/>
      <w:marLeft w:val="0"/>
      <w:marRight w:val="0"/>
      <w:marTop w:val="0"/>
      <w:marBottom w:val="0"/>
      <w:divBdr>
        <w:top w:val="none" w:sz="0" w:space="0" w:color="auto"/>
        <w:left w:val="none" w:sz="0" w:space="0" w:color="auto"/>
        <w:bottom w:val="none" w:sz="0" w:space="0" w:color="auto"/>
        <w:right w:val="none" w:sz="0" w:space="0" w:color="auto"/>
      </w:divBdr>
    </w:div>
    <w:div w:id="152111411">
      <w:bodyDiv w:val="1"/>
      <w:marLeft w:val="0"/>
      <w:marRight w:val="0"/>
      <w:marTop w:val="0"/>
      <w:marBottom w:val="0"/>
      <w:divBdr>
        <w:top w:val="none" w:sz="0" w:space="0" w:color="auto"/>
        <w:left w:val="none" w:sz="0" w:space="0" w:color="auto"/>
        <w:bottom w:val="none" w:sz="0" w:space="0" w:color="auto"/>
        <w:right w:val="none" w:sz="0" w:space="0" w:color="auto"/>
      </w:divBdr>
    </w:div>
    <w:div w:id="156656897">
      <w:bodyDiv w:val="1"/>
      <w:marLeft w:val="0"/>
      <w:marRight w:val="0"/>
      <w:marTop w:val="0"/>
      <w:marBottom w:val="0"/>
      <w:divBdr>
        <w:top w:val="none" w:sz="0" w:space="0" w:color="auto"/>
        <w:left w:val="none" w:sz="0" w:space="0" w:color="auto"/>
        <w:bottom w:val="none" w:sz="0" w:space="0" w:color="auto"/>
        <w:right w:val="none" w:sz="0" w:space="0" w:color="auto"/>
      </w:divBdr>
      <w:divsChild>
        <w:div w:id="1873762614">
          <w:marLeft w:val="0"/>
          <w:marRight w:val="0"/>
          <w:marTop w:val="0"/>
          <w:marBottom w:val="0"/>
          <w:divBdr>
            <w:top w:val="none" w:sz="0" w:space="0" w:color="auto"/>
            <w:left w:val="none" w:sz="0" w:space="0" w:color="auto"/>
            <w:bottom w:val="none" w:sz="0" w:space="0" w:color="auto"/>
            <w:right w:val="none" w:sz="0" w:space="0" w:color="auto"/>
          </w:divBdr>
          <w:divsChild>
            <w:div w:id="1578633750">
              <w:marLeft w:val="0"/>
              <w:marRight w:val="0"/>
              <w:marTop w:val="0"/>
              <w:marBottom w:val="0"/>
              <w:divBdr>
                <w:top w:val="none" w:sz="0" w:space="0" w:color="auto"/>
                <w:left w:val="none" w:sz="0" w:space="0" w:color="auto"/>
                <w:bottom w:val="none" w:sz="0" w:space="0" w:color="auto"/>
                <w:right w:val="none" w:sz="0" w:space="0" w:color="auto"/>
              </w:divBdr>
              <w:divsChild>
                <w:div w:id="1112361555">
                  <w:marLeft w:val="0"/>
                  <w:marRight w:val="0"/>
                  <w:marTop w:val="0"/>
                  <w:marBottom w:val="0"/>
                  <w:divBdr>
                    <w:top w:val="none" w:sz="0" w:space="0" w:color="auto"/>
                    <w:left w:val="none" w:sz="0" w:space="0" w:color="auto"/>
                    <w:bottom w:val="none" w:sz="0" w:space="0" w:color="auto"/>
                    <w:right w:val="none" w:sz="0" w:space="0" w:color="auto"/>
                  </w:divBdr>
                  <w:divsChild>
                    <w:div w:id="986468843">
                      <w:marLeft w:val="0"/>
                      <w:marRight w:val="0"/>
                      <w:marTop w:val="0"/>
                      <w:marBottom w:val="0"/>
                      <w:divBdr>
                        <w:top w:val="none" w:sz="0" w:space="0" w:color="auto"/>
                        <w:left w:val="none" w:sz="0" w:space="0" w:color="auto"/>
                        <w:bottom w:val="none" w:sz="0" w:space="0" w:color="auto"/>
                        <w:right w:val="none" w:sz="0" w:space="0" w:color="auto"/>
                      </w:divBdr>
                      <w:divsChild>
                        <w:div w:id="1200051798">
                          <w:marLeft w:val="0"/>
                          <w:marRight w:val="0"/>
                          <w:marTop w:val="0"/>
                          <w:marBottom w:val="0"/>
                          <w:divBdr>
                            <w:top w:val="none" w:sz="0" w:space="0" w:color="auto"/>
                            <w:left w:val="none" w:sz="0" w:space="0" w:color="auto"/>
                            <w:bottom w:val="none" w:sz="0" w:space="0" w:color="auto"/>
                            <w:right w:val="none" w:sz="0" w:space="0" w:color="auto"/>
                          </w:divBdr>
                          <w:divsChild>
                            <w:div w:id="72102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81045">
      <w:bodyDiv w:val="1"/>
      <w:marLeft w:val="0"/>
      <w:marRight w:val="0"/>
      <w:marTop w:val="0"/>
      <w:marBottom w:val="0"/>
      <w:divBdr>
        <w:top w:val="none" w:sz="0" w:space="0" w:color="auto"/>
        <w:left w:val="none" w:sz="0" w:space="0" w:color="auto"/>
        <w:bottom w:val="none" w:sz="0" w:space="0" w:color="auto"/>
        <w:right w:val="none" w:sz="0" w:space="0" w:color="auto"/>
      </w:divBdr>
    </w:div>
    <w:div w:id="217397060">
      <w:bodyDiv w:val="1"/>
      <w:marLeft w:val="0"/>
      <w:marRight w:val="0"/>
      <w:marTop w:val="0"/>
      <w:marBottom w:val="0"/>
      <w:divBdr>
        <w:top w:val="none" w:sz="0" w:space="0" w:color="auto"/>
        <w:left w:val="none" w:sz="0" w:space="0" w:color="auto"/>
        <w:bottom w:val="none" w:sz="0" w:space="0" w:color="auto"/>
        <w:right w:val="none" w:sz="0" w:space="0" w:color="auto"/>
      </w:divBdr>
    </w:div>
    <w:div w:id="219901960">
      <w:bodyDiv w:val="1"/>
      <w:marLeft w:val="0"/>
      <w:marRight w:val="0"/>
      <w:marTop w:val="0"/>
      <w:marBottom w:val="0"/>
      <w:divBdr>
        <w:top w:val="none" w:sz="0" w:space="0" w:color="auto"/>
        <w:left w:val="none" w:sz="0" w:space="0" w:color="auto"/>
        <w:bottom w:val="none" w:sz="0" w:space="0" w:color="auto"/>
        <w:right w:val="none" w:sz="0" w:space="0" w:color="auto"/>
      </w:divBdr>
    </w:div>
    <w:div w:id="230190895">
      <w:bodyDiv w:val="1"/>
      <w:marLeft w:val="0"/>
      <w:marRight w:val="0"/>
      <w:marTop w:val="0"/>
      <w:marBottom w:val="0"/>
      <w:divBdr>
        <w:top w:val="none" w:sz="0" w:space="0" w:color="auto"/>
        <w:left w:val="none" w:sz="0" w:space="0" w:color="auto"/>
        <w:bottom w:val="none" w:sz="0" w:space="0" w:color="auto"/>
        <w:right w:val="none" w:sz="0" w:space="0" w:color="auto"/>
      </w:divBdr>
    </w:div>
    <w:div w:id="321278938">
      <w:bodyDiv w:val="1"/>
      <w:marLeft w:val="0"/>
      <w:marRight w:val="0"/>
      <w:marTop w:val="0"/>
      <w:marBottom w:val="0"/>
      <w:divBdr>
        <w:top w:val="none" w:sz="0" w:space="0" w:color="auto"/>
        <w:left w:val="none" w:sz="0" w:space="0" w:color="auto"/>
        <w:bottom w:val="none" w:sz="0" w:space="0" w:color="auto"/>
        <w:right w:val="none" w:sz="0" w:space="0" w:color="auto"/>
      </w:divBdr>
    </w:div>
    <w:div w:id="364185590">
      <w:bodyDiv w:val="1"/>
      <w:marLeft w:val="0"/>
      <w:marRight w:val="0"/>
      <w:marTop w:val="0"/>
      <w:marBottom w:val="0"/>
      <w:divBdr>
        <w:top w:val="none" w:sz="0" w:space="0" w:color="auto"/>
        <w:left w:val="none" w:sz="0" w:space="0" w:color="auto"/>
        <w:bottom w:val="none" w:sz="0" w:space="0" w:color="auto"/>
        <w:right w:val="none" w:sz="0" w:space="0" w:color="auto"/>
      </w:divBdr>
      <w:divsChild>
        <w:div w:id="865095950">
          <w:marLeft w:val="0"/>
          <w:marRight w:val="0"/>
          <w:marTop w:val="0"/>
          <w:marBottom w:val="0"/>
          <w:divBdr>
            <w:top w:val="none" w:sz="0" w:space="0" w:color="auto"/>
            <w:left w:val="none" w:sz="0" w:space="0" w:color="auto"/>
            <w:bottom w:val="none" w:sz="0" w:space="0" w:color="auto"/>
            <w:right w:val="none" w:sz="0" w:space="0" w:color="auto"/>
          </w:divBdr>
          <w:divsChild>
            <w:div w:id="351540600">
              <w:marLeft w:val="0"/>
              <w:marRight w:val="0"/>
              <w:marTop w:val="0"/>
              <w:marBottom w:val="0"/>
              <w:divBdr>
                <w:top w:val="none" w:sz="0" w:space="0" w:color="auto"/>
                <w:left w:val="none" w:sz="0" w:space="0" w:color="auto"/>
                <w:bottom w:val="none" w:sz="0" w:space="0" w:color="auto"/>
                <w:right w:val="none" w:sz="0" w:space="0" w:color="auto"/>
              </w:divBdr>
              <w:divsChild>
                <w:div w:id="252475227">
                  <w:marLeft w:val="0"/>
                  <w:marRight w:val="0"/>
                  <w:marTop w:val="0"/>
                  <w:marBottom w:val="0"/>
                  <w:divBdr>
                    <w:top w:val="none" w:sz="0" w:space="0" w:color="auto"/>
                    <w:left w:val="none" w:sz="0" w:space="0" w:color="auto"/>
                    <w:bottom w:val="none" w:sz="0" w:space="0" w:color="auto"/>
                    <w:right w:val="none" w:sz="0" w:space="0" w:color="auto"/>
                  </w:divBdr>
                  <w:divsChild>
                    <w:div w:id="446201101">
                      <w:marLeft w:val="0"/>
                      <w:marRight w:val="0"/>
                      <w:marTop w:val="0"/>
                      <w:marBottom w:val="0"/>
                      <w:divBdr>
                        <w:top w:val="none" w:sz="0" w:space="0" w:color="auto"/>
                        <w:left w:val="none" w:sz="0" w:space="0" w:color="auto"/>
                        <w:bottom w:val="none" w:sz="0" w:space="0" w:color="auto"/>
                        <w:right w:val="none" w:sz="0" w:space="0" w:color="auto"/>
                      </w:divBdr>
                      <w:divsChild>
                        <w:div w:id="577792051">
                          <w:marLeft w:val="0"/>
                          <w:marRight w:val="0"/>
                          <w:marTop w:val="0"/>
                          <w:marBottom w:val="0"/>
                          <w:divBdr>
                            <w:top w:val="none" w:sz="0" w:space="0" w:color="auto"/>
                            <w:left w:val="none" w:sz="0" w:space="0" w:color="auto"/>
                            <w:bottom w:val="none" w:sz="0" w:space="0" w:color="auto"/>
                            <w:right w:val="none" w:sz="0" w:space="0" w:color="auto"/>
                          </w:divBdr>
                          <w:divsChild>
                            <w:div w:id="11398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219584">
      <w:bodyDiv w:val="1"/>
      <w:marLeft w:val="0"/>
      <w:marRight w:val="0"/>
      <w:marTop w:val="0"/>
      <w:marBottom w:val="0"/>
      <w:divBdr>
        <w:top w:val="none" w:sz="0" w:space="0" w:color="auto"/>
        <w:left w:val="none" w:sz="0" w:space="0" w:color="auto"/>
        <w:bottom w:val="none" w:sz="0" w:space="0" w:color="auto"/>
        <w:right w:val="none" w:sz="0" w:space="0" w:color="auto"/>
      </w:divBdr>
    </w:div>
    <w:div w:id="430472237">
      <w:bodyDiv w:val="1"/>
      <w:marLeft w:val="0"/>
      <w:marRight w:val="0"/>
      <w:marTop w:val="0"/>
      <w:marBottom w:val="0"/>
      <w:divBdr>
        <w:top w:val="none" w:sz="0" w:space="0" w:color="auto"/>
        <w:left w:val="none" w:sz="0" w:space="0" w:color="auto"/>
        <w:bottom w:val="none" w:sz="0" w:space="0" w:color="auto"/>
        <w:right w:val="none" w:sz="0" w:space="0" w:color="auto"/>
      </w:divBdr>
    </w:div>
    <w:div w:id="521092125">
      <w:bodyDiv w:val="1"/>
      <w:marLeft w:val="0"/>
      <w:marRight w:val="0"/>
      <w:marTop w:val="0"/>
      <w:marBottom w:val="0"/>
      <w:divBdr>
        <w:top w:val="none" w:sz="0" w:space="0" w:color="auto"/>
        <w:left w:val="none" w:sz="0" w:space="0" w:color="auto"/>
        <w:bottom w:val="none" w:sz="0" w:space="0" w:color="auto"/>
        <w:right w:val="none" w:sz="0" w:space="0" w:color="auto"/>
      </w:divBdr>
    </w:div>
    <w:div w:id="556281537">
      <w:bodyDiv w:val="1"/>
      <w:marLeft w:val="0"/>
      <w:marRight w:val="0"/>
      <w:marTop w:val="0"/>
      <w:marBottom w:val="0"/>
      <w:divBdr>
        <w:top w:val="none" w:sz="0" w:space="0" w:color="auto"/>
        <w:left w:val="none" w:sz="0" w:space="0" w:color="auto"/>
        <w:bottom w:val="none" w:sz="0" w:space="0" w:color="auto"/>
        <w:right w:val="none" w:sz="0" w:space="0" w:color="auto"/>
      </w:divBdr>
    </w:div>
    <w:div w:id="571240118">
      <w:bodyDiv w:val="1"/>
      <w:marLeft w:val="0"/>
      <w:marRight w:val="0"/>
      <w:marTop w:val="0"/>
      <w:marBottom w:val="0"/>
      <w:divBdr>
        <w:top w:val="none" w:sz="0" w:space="0" w:color="auto"/>
        <w:left w:val="none" w:sz="0" w:space="0" w:color="auto"/>
        <w:bottom w:val="none" w:sz="0" w:space="0" w:color="auto"/>
        <w:right w:val="none" w:sz="0" w:space="0" w:color="auto"/>
      </w:divBdr>
    </w:div>
    <w:div w:id="571815583">
      <w:bodyDiv w:val="1"/>
      <w:marLeft w:val="0"/>
      <w:marRight w:val="0"/>
      <w:marTop w:val="0"/>
      <w:marBottom w:val="0"/>
      <w:divBdr>
        <w:top w:val="none" w:sz="0" w:space="0" w:color="auto"/>
        <w:left w:val="none" w:sz="0" w:space="0" w:color="auto"/>
        <w:bottom w:val="none" w:sz="0" w:space="0" w:color="auto"/>
        <w:right w:val="none" w:sz="0" w:space="0" w:color="auto"/>
      </w:divBdr>
      <w:divsChild>
        <w:div w:id="1918589025">
          <w:marLeft w:val="0"/>
          <w:marRight w:val="0"/>
          <w:marTop w:val="0"/>
          <w:marBottom w:val="0"/>
          <w:divBdr>
            <w:top w:val="none" w:sz="0" w:space="0" w:color="auto"/>
            <w:left w:val="none" w:sz="0" w:space="0" w:color="auto"/>
            <w:bottom w:val="none" w:sz="0" w:space="0" w:color="auto"/>
            <w:right w:val="none" w:sz="0" w:space="0" w:color="auto"/>
          </w:divBdr>
          <w:divsChild>
            <w:div w:id="861316">
              <w:marLeft w:val="0"/>
              <w:marRight w:val="0"/>
              <w:marTop w:val="0"/>
              <w:marBottom w:val="0"/>
              <w:divBdr>
                <w:top w:val="none" w:sz="0" w:space="0" w:color="auto"/>
                <w:left w:val="none" w:sz="0" w:space="0" w:color="auto"/>
                <w:bottom w:val="none" w:sz="0" w:space="0" w:color="auto"/>
                <w:right w:val="none" w:sz="0" w:space="0" w:color="auto"/>
              </w:divBdr>
              <w:divsChild>
                <w:div w:id="1167786051">
                  <w:marLeft w:val="0"/>
                  <w:marRight w:val="0"/>
                  <w:marTop w:val="0"/>
                  <w:marBottom w:val="0"/>
                  <w:divBdr>
                    <w:top w:val="none" w:sz="0" w:space="0" w:color="auto"/>
                    <w:left w:val="none" w:sz="0" w:space="0" w:color="auto"/>
                    <w:bottom w:val="none" w:sz="0" w:space="0" w:color="auto"/>
                    <w:right w:val="none" w:sz="0" w:space="0" w:color="auto"/>
                  </w:divBdr>
                  <w:divsChild>
                    <w:div w:id="6341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186405">
      <w:bodyDiv w:val="1"/>
      <w:marLeft w:val="0"/>
      <w:marRight w:val="0"/>
      <w:marTop w:val="0"/>
      <w:marBottom w:val="0"/>
      <w:divBdr>
        <w:top w:val="none" w:sz="0" w:space="0" w:color="auto"/>
        <w:left w:val="none" w:sz="0" w:space="0" w:color="auto"/>
        <w:bottom w:val="none" w:sz="0" w:space="0" w:color="auto"/>
        <w:right w:val="none" w:sz="0" w:space="0" w:color="auto"/>
      </w:divBdr>
    </w:div>
    <w:div w:id="595015647">
      <w:bodyDiv w:val="1"/>
      <w:marLeft w:val="0"/>
      <w:marRight w:val="0"/>
      <w:marTop w:val="0"/>
      <w:marBottom w:val="0"/>
      <w:divBdr>
        <w:top w:val="none" w:sz="0" w:space="0" w:color="auto"/>
        <w:left w:val="none" w:sz="0" w:space="0" w:color="auto"/>
        <w:bottom w:val="none" w:sz="0" w:space="0" w:color="auto"/>
        <w:right w:val="none" w:sz="0" w:space="0" w:color="auto"/>
      </w:divBdr>
    </w:div>
    <w:div w:id="606544551">
      <w:bodyDiv w:val="1"/>
      <w:marLeft w:val="0"/>
      <w:marRight w:val="0"/>
      <w:marTop w:val="0"/>
      <w:marBottom w:val="0"/>
      <w:divBdr>
        <w:top w:val="none" w:sz="0" w:space="0" w:color="auto"/>
        <w:left w:val="none" w:sz="0" w:space="0" w:color="auto"/>
        <w:bottom w:val="none" w:sz="0" w:space="0" w:color="auto"/>
        <w:right w:val="none" w:sz="0" w:space="0" w:color="auto"/>
      </w:divBdr>
    </w:div>
    <w:div w:id="648360543">
      <w:bodyDiv w:val="1"/>
      <w:marLeft w:val="0"/>
      <w:marRight w:val="0"/>
      <w:marTop w:val="0"/>
      <w:marBottom w:val="0"/>
      <w:divBdr>
        <w:top w:val="none" w:sz="0" w:space="0" w:color="auto"/>
        <w:left w:val="none" w:sz="0" w:space="0" w:color="auto"/>
        <w:bottom w:val="none" w:sz="0" w:space="0" w:color="auto"/>
        <w:right w:val="none" w:sz="0" w:space="0" w:color="auto"/>
      </w:divBdr>
    </w:div>
    <w:div w:id="684940952">
      <w:bodyDiv w:val="1"/>
      <w:marLeft w:val="0"/>
      <w:marRight w:val="0"/>
      <w:marTop w:val="0"/>
      <w:marBottom w:val="0"/>
      <w:divBdr>
        <w:top w:val="none" w:sz="0" w:space="0" w:color="auto"/>
        <w:left w:val="none" w:sz="0" w:space="0" w:color="auto"/>
        <w:bottom w:val="none" w:sz="0" w:space="0" w:color="auto"/>
        <w:right w:val="none" w:sz="0" w:space="0" w:color="auto"/>
      </w:divBdr>
      <w:divsChild>
        <w:div w:id="654577940">
          <w:blockQuote w:val="1"/>
          <w:marLeft w:val="0"/>
          <w:marRight w:val="0"/>
          <w:marTop w:val="0"/>
          <w:marBottom w:val="0"/>
          <w:divBdr>
            <w:top w:val="none" w:sz="0" w:space="0" w:color="auto"/>
            <w:left w:val="single" w:sz="12" w:space="5" w:color="1010FF"/>
            <w:bottom w:val="none" w:sz="0" w:space="0" w:color="auto"/>
            <w:right w:val="single" w:sz="12" w:space="5" w:color="006A9D"/>
          </w:divBdr>
          <w:divsChild>
            <w:div w:id="92867823">
              <w:marLeft w:val="0"/>
              <w:marRight w:val="0"/>
              <w:marTop w:val="0"/>
              <w:marBottom w:val="0"/>
              <w:divBdr>
                <w:top w:val="none" w:sz="0" w:space="0" w:color="auto"/>
                <w:left w:val="none" w:sz="0" w:space="0" w:color="auto"/>
                <w:bottom w:val="none" w:sz="0" w:space="0" w:color="auto"/>
                <w:right w:val="none" w:sz="0" w:space="0" w:color="auto"/>
              </w:divBdr>
              <w:divsChild>
                <w:div w:id="262223075">
                  <w:marLeft w:val="0"/>
                  <w:marRight w:val="0"/>
                  <w:marTop w:val="0"/>
                  <w:marBottom w:val="0"/>
                  <w:divBdr>
                    <w:top w:val="none" w:sz="0" w:space="0" w:color="auto"/>
                    <w:left w:val="none" w:sz="0" w:space="0" w:color="auto"/>
                    <w:bottom w:val="none" w:sz="0" w:space="0" w:color="auto"/>
                    <w:right w:val="none" w:sz="0" w:space="0" w:color="auto"/>
                  </w:divBdr>
                  <w:divsChild>
                    <w:div w:id="537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01178">
      <w:bodyDiv w:val="1"/>
      <w:marLeft w:val="0"/>
      <w:marRight w:val="0"/>
      <w:marTop w:val="0"/>
      <w:marBottom w:val="0"/>
      <w:divBdr>
        <w:top w:val="none" w:sz="0" w:space="0" w:color="auto"/>
        <w:left w:val="none" w:sz="0" w:space="0" w:color="auto"/>
        <w:bottom w:val="none" w:sz="0" w:space="0" w:color="auto"/>
        <w:right w:val="none" w:sz="0" w:space="0" w:color="auto"/>
      </w:divBdr>
    </w:div>
    <w:div w:id="734932423">
      <w:bodyDiv w:val="1"/>
      <w:marLeft w:val="0"/>
      <w:marRight w:val="0"/>
      <w:marTop w:val="0"/>
      <w:marBottom w:val="0"/>
      <w:divBdr>
        <w:top w:val="none" w:sz="0" w:space="0" w:color="auto"/>
        <w:left w:val="none" w:sz="0" w:space="0" w:color="auto"/>
        <w:bottom w:val="none" w:sz="0" w:space="0" w:color="auto"/>
        <w:right w:val="none" w:sz="0" w:space="0" w:color="auto"/>
      </w:divBdr>
    </w:div>
    <w:div w:id="759453357">
      <w:bodyDiv w:val="1"/>
      <w:marLeft w:val="0"/>
      <w:marRight w:val="0"/>
      <w:marTop w:val="0"/>
      <w:marBottom w:val="0"/>
      <w:divBdr>
        <w:top w:val="none" w:sz="0" w:space="0" w:color="auto"/>
        <w:left w:val="none" w:sz="0" w:space="0" w:color="auto"/>
        <w:bottom w:val="none" w:sz="0" w:space="0" w:color="auto"/>
        <w:right w:val="none" w:sz="0" w:space="0" w:color="auto"/>
      </w:divBdr>
    </w:div>
    <w:div w:id="788280748">
      <w:bodyDiv w:val="1"/>
      <w:marLeft w:val="0"/>
      <w:marRight w:val="0"/>
      <w:marTop w:val="0"/>
      <w:marBottom w:val="0"/>
      <w:divBdr>
        <w:top w:val="none" w:sz="0" w:space="0" w:color="auto"/>
        <w:left w:val="none" w:sz="0" w:space="0" w:color="auto"/>
        <w:bottom w:val="none" w:sz="0" w:space="0" w:color="auto"/>
        <w:right w:val="none" w:sz="0" w:space="0" w:color="auto"/>
      </w:divBdr>
    </w:div>
    <w:div w:id="818305226">
      <w:bodyDiv w:val="1"/>
      <w:marLeft w:val="0"/>
      <w:marRight w:val="0"/>
      <w:marTop w:val="0"/>
      <w:marBottom w:val="0"/>
      <w:divBdr>
        <w:top w:val="none" w:sz="0" w:space="0" w:color="auto"/>
        <w:left w:val="none" w:sz="0" w:space="0" w:color="auto"/>
        <w:bottom w:val="none" w:sz="0" w:space="0" w:color="auto"/>
        <w:right w:val="none" w:sz="0" w:space="0" w:color="auto"/>
      </w:divBdr>
      <w:divsChild>
        <w:div w:id="1997611265">
          <w:marLeft w:val="0"/>
          <w:marRight w:val="0"/>
          <w:marTop w:val="0"/>
          <w:marBottom w:val="0"/>
          <w:divBdr>
            <w:top w:val="none" w:sz="0" w:space="0" w:color="auto"/>
            <w:left w:val="none" w:sz="0" w:space="0" w:color="auto"/>
            <w:bottom w:val="none" w:sz="0" w:space="0" w:color="auto"/>
            <w:right w:val="none" w:sz="0" w:space="0" w:color="auto"/>
          </w:divBdr>
        </w:div>
      </w:divsChild>
    </w:div>
    <w:div w:id="825778965">
      <w:bodyDiv w:val="1"/>
      <w:marLeft w:val="0"/>
      <w:marRight w:val="0"/>
      <w:marTop w:val="0"/>
      <w:marBottom w:val="0"/>
      <w:divBdr>
        <w:top w:val="none" w:sz="0" w:space="0" w:color="auto"/>
        <w:left w:val="none" w:sz="0" w:space="0" w:color="auto"/>
        <w:bottom w:val="none" w:sz="0" w:space="0" w:color="auto"/>
        <w:right w:val="none" w:sz="0" w:space="0" w:color="auto"/>
      </w:divBdr>
    </w:div>
    <w:div w:id="849025427">
      <w:bodyDiv w:val="1"/>
      <w:marLeft w:val="0"/>
      <w:marRight w:val="0"/>
      <w:marTop w:val="0"/>
      <w:marBottom w:val="0"/>
      <w:divBdr>
        <w:top w:val="none" w:sz="0" w:space="0" w:color="auto"/>
        <w:left w:val="none" w:sz="0" w:space="0" w:color="auto"/>
        <w:bottom w:val="none" w:sz="0" w:space="0" w:color="auto"/>
        <w:right w:val="none" w:sz="0" w:space="0" w:color="auto"/>
      </w:divBdr>
    </w:div>
    <w:div w:id="855458817">
      <w:bodyDiv w:val="1"/>
      <w:marLeft w:val="0"/>
      <w:marRight w:val="0"/>
      <w:marTop w:val="0"/>
      <w:marBottom w:val="0"/>
      <w:divBdr>
        <w:top w:val="none" w:sz="0" w:space="0" w:color="auto"/>
        <w:left w:val="none" w:sz="0" w:space="0" w:color="auto"/>
        <w:bottom w:val="none" w:sz="0" w:space="0" w:color="auto"/>
        <w:right w:val="none" w:sz="0" w:space="0" w:color="auto"/>
      </w:divBdr>
    </w:div>
    <w:div w:id="873228961">
      <w:bodyDiv w:val="1"/>
      <w:marLeft w:val="0"/>
      <w:marRight w:val="0"/>
      <w:marTop w:val="0"/>
      <w:marBottom w:val="0"/>
      <w:divBdr>
        <w:top w:val="none" w:sz="0" w:space="0" w:color="auto"/>
        <w:left w:val="none" w:sz="0" w:space="0" w:color="auto"/>
        <w:bottom w:val="none" w:sz="0" w:space="0" w:color="auto"/>
        <w:right w:val="none" w:sz="0" w:space="0" w:color="auto"/>
      </w:divBdr>
    </w:div>
    <w:div w:id="904755831">
      <w:bodyDiv w:val="1"/>
      <w:marLeft w:val="0"/>
      <w:marRight w:val="0"/>
      <w:marTop w:val="0"/>
      <w:marBottom w:val="0"/>
      <w:divBdr>
        <w:top w:val="none" w:sz="0" w:space="0" w:color="auto"/>
        <w:left w:val="none" w:sz="0" w:space="0" w:color="auto"/>
        <w:bottom w:val="none" w:sz="0" w:space="0" w:color="auto"/>
        <w:right w:val="none" w:sz="0" w:space="0" w:color="auto"/>
      </w:divBdr>
    </w:div>
    <w:div w:id="943030248">
      <w:bodyDiv w:val="1"/>
      <w:marLeft w:val="0"/>
      <w:marRight w:val="0"/>
      <w:marTop w:val="0"/>
      <w:marBottom w:val="0"/>
      <w:divBdr>
        <w:top w:val="none" w:sz="0" w:space="0" w:color="auto"/>
        <w:left w:val="none" w:sz="0" w:space="0" w:color="auto"/>
        <w:bottom w:val="none" w:sz="0" w:space="0" w:color="auto"/>
        <w:right w:val="none" w:sz="0" w:space="0" w:color="auto"/>
      </w:divBdr>
    </w:div>
    <w:div w:id="961499319">
      <w:bodyDiv w:val="1"/>
      <w:marLeft w:val="0"/>
      <w:marRight w:val="0"/>
      <w:marTop w:val="0"/>
      <w:marBottom w:val="0"/>
      <w:divBdr>
        <w:top w:val="none" w:sz="0" w:space="0" w:color="auto"/>
        <w:left w:val="none" w:sz="0" w:space="0" w:color="auto"/>
        <w:bottom w:val="none" w:sz="0" w:space="0" w:color="auto"/>
        <w:right w:val="none" w:sz="0" w:space="0" w:color="auto"/>
      </w:divBdr>
    </w:div>
    <w:div w:id="1033310465">
      <w:bodyDiv w:val="1"/>
      <w:marLeft w:val="0"/>
      <w:marRight w:val="0"/>
      <w:marTop w:val="0"/>
      <w:marBottom w:val="0"/>
      <w:divBdr>
        <w:top w:val="none" w:sz="0" w:space="0" w:color="auto"/>
        <w:left w:val="none" w:sz="0" w:space="0" w:color="auto"/>
        <w:bottom w:val="none" w:sz="0" w:space="0" w:color="auto"/>
        <w:right w:val="none" w:sz="0" w:space="0" w:color="auto"/>
      </w:divBdr>
    </w:div>
    <w:div w:id="1039473569">
      <w:bodyDiv w:val="1"/>
      <w:marLeft w:val="0"/>
      <w:marRight w:val="0"/>
      <w:marTop w:val="0"/>
      <w:marBottom w:val="0"/>
      <w:divBdr>
        <w:top w:val="none" w:sz="0" w:space="0" w:color="auto"/>
        <w:left w:val="none" w:sz="0" w:space="0" w:color="auto"/>
        <w:bottom w:val="none" w:sz="0" w:space="0" w:color="auto"/>
        <w:right w:val="none" w:sz="0" w:space="0" w:color="auto"/>
      </w:divBdr>
    </w:div>
    <w:div w:id="1040325078">
      <w:bodyDiv w:val="1"/>
      <w:marLeft w:val="0"/>
      <w:marRight w:val="0"/>
      <w:marTop w:val="0"/>
      <w:marBottom w:val="0"/>
      <w:divBdr>
        <w:top w:val="none" w:sz="0" w:space="0" w:color="auto"/>
        <w:left w:val="none" w:sz="0" w:space="0" w:color="auto"/>
        <w:bottom w:val="none" w:sz="0" w:space="0" w:color="auto"/>
        <w:right w:val="none" w:sz="0" w:space="0" w:color="auto"/>
      </w:divBdr>
    </w:div>
    <w:div w:id="1046098057">
      <w:bodyDiv w:val="1"/>
      <w:marLeft w:val="0"/>
      <w:marRight w:val="0"/>
      <w:marTop w:val="0"/>
      <w:marBottom w:val="0"/>
      <w:divBdr>
        <w:top w:val="none" w:sz="0" w:space="0" w:color="auto"/>
        <w:left w:val="none" w:sz="0" w:space="0" w:color="auto"/>
        <w:bottom w:val="none" w:sz="0" w:space="0" w:color="auto"/>
        <w:right w:val="none" w:sz="0" w:space="0" w:color="auto"/>
      </w:divBdr>
    </w:div>
    <w:div w:id="1060011153">
      <w:bodyDiv w:val="1"/>
      <w:marLeft w:val="0"/>
      <w:marRight w:val="0"/>
      <w:marTop w:val="0"/>
      <w:marBottom w:val="0"/>
      <w:divBdr>
        <w:top w:val="none" w:sz="0" w:space="0" w:color="auto"/>
        <w:left w:val="none" w:sz="0" w:space="0" w:color="auto"/>
        <w:bottom w:val="none" w:sz="0" w:space="0" w:color="auto"/>
        <w:right w:val="none" w:sz="0" w:space="0" w:color="auto"/>
      </w:divBdr>
      <w:divsChild>
        <w:div w:id="607542133">
          <w:marLeft w:val="0"/>
          <w:marRight w:val="0"/>
          <w:marTop w:val="0"/>
          <w:marBottom w:val="0"/>
          <w:divBdr>
            <w:top w:val="none" w:sz="0" w:space="0" w:color="auto"/>
            <w:left w:val="none" w:sz="0" w:space="0" w:color="auto"/>
            <w:bottom w:val="none" w:sz="0" w:space="0" w:color="auto"/>
            <w:right w:val="none" w:sz="0" w:space="0" w:color="auto"/>
          </w:divBdr>
          <w:divsChild>
            <w:div w:id="268589884">
              <w:marLeft w:val="0"/>
              <w:marRight w:val="0"/>
              <w:marTop w:val="0"/>
              <w:marBottom w:val="0"/>
              <w:divBdr>
                <w:top w:val="none" w:sz="0" w:space="0" w:color="auto"/>
                <w:left w:val="none" w:sz="0" w:space="0" w:color="auto"/>
                <w:bottom w:val="none" w:sz="0" w:space="0" w:color="auto"/>
                <w:right w:val="none" w:sz="0" w:space="0" w:color="auto"/>
              </w:divBdr>
              <w:divsChild>
                <w:div w:id="485434734">
                  <w:marLeft w:val="0"/>
                  <w:marRight w:val="0"/>
                  <w:marTop w:val="0"/>
                  <w:marBottom w:val="0"/>
                  <w:divBdr>
                    <w:top w:val="none" w:sz="0" w:space="0" w:color="auto"/>
                    <w:left w:val="none" w:sz="0" w:space="0" w:color="auto"/>
                    <w:bottom w:val="none" w:sz="0" w:space="0" w:color="auto"/>
                    <w:right w:val="none" w:sz="0" w:space="0" w:color="auto"/>
                  </w:divBdr>
                  <w:divsChild>
                    <w:div w:id="129336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13632">
      <w:bodyDiv w:val="1"/>
      <w:marLeft w:val="0"/>
      <w:marRight w:val="0"/>
      <w:marTop w:val="0"/>
      <w:marBottom w:val="0"/>
      <w:divBdr>
        <w:top w:val="none" w:sz="0" w:space="0" w:color="auto"/>
        <w:left w:val="none" w:sz="0" w:space="0" w:color="auto"/>
        <w:bottom w:val="none" w:sz="0" w:space="0" w:color="auto"/>
        <w:right w:val="none" w:sz="0" w:space="0" w:color="auto"/>
      </w:divBdr>
    </w:div>
    <w:div w:id="1120220344">
      <w:bodyDiv w:val="1"/>
      <w:marLeft w:val="0"/>
      <w:marRight w:val="0"/>
      <w:marTop w:val="0"/>
      <w:marBottom w:val="0"/>
      <w:divBdr>
        <w:top w:val="none" w:sz="0" w:space="0" w:color="auto"/>
        <w:left w:val="none" w:sz="0" w:space="0" w:color="auto"/>
        <w:bottom w:val="none" w:sz="0" w:space="0" w:color="auto"/>
        <w:right w:val="none" w:sz="0" w:space="0" w:color="auto"/>
      </w:divBdr>
      <w:divsChild>
        <w:div w:id="1178498011">
          <w:marLeft w:val="0"/>
          <w:marRight w:val="0"/>
          <w:marTop w:val="0"/>
          <w:marBottom w:val="0"/>
          <w:divBdr>
            <w:top w:val="none" w:sz="0" w:space="0" w:color="auto"/>
            <w:left w:val="none" w:sz="0" w:space="0" w:color="auto"/>
            <w:bottom w:val="none" w:sz="0" w:space="0" w:color="auto"/>
            <w:right w:val="none" w:sz="0" w:space="0" w:color="auto"/>
          </w:divBdr>
          <w:divsChild>
            <w:div w:id="1882784753">
              <w:marLeft w:val="0"/>
              <w:marRight w:val="0"/>
              <w:marTop w:val="0"/>
              <w:marBottom w:val="0"/>
              <w:divBdr>
                <w:top w:val="none" w:sz="0" w:space="0" w:color="auto"/>
                <w:left w:val="none" w:sz="0" w:space="0" w:color="auto"/>
                <w:bottom w:val="none" w:sz="0" w:space="0" w:color="auto"/>
                <w:right w:val="none" w:sz="0" w:space="0" w:color="auto"/>
              </w:divBdr>
              <w:divsChild>
                <w:div w:id="91823499">
                  <w:marLeft w:val="0"/>
                  <w:marRight w:val="0"/>
                  <w:marTop w:val="0"/>
                  <w:marBottom w:val="0"/>
                  <w:divBdr>
                    <w:top w:val="none" w:sz="0" w:space="0" w:color="auto"/>
                    <w:left w:val="none" w:sz="0" w:space="0" w:color="auto"/>
                    <w:bottom w:val="none" w:sz="0" w:space="0" w:color="auto"/>
                    <w:right w:val="none" w:sz="0" w:space="0" w:color="auto"/>
                  </w:divBdr>
                  <w:divsChild>
                    <w:div w:id="347945538">
                      <w:marLeft w:val="0"/>
                      <w:marRight w:val="0"/>
                      <w:marTop w:val="0"/>
                      <w:marBottom w:val="0"/>
                      <w:divBdr>
                        <w:top w:val="none" w:sz="0" w:space="0" w:color="auto"/>
                        <w:left w:val="none" w:sz="0" w:space="0" w:color="auto"/>
                        <w:bottom w:val="none" w:sz="0" w:space="0" w:color="auto"/>
                        <w:right w:val="none" w:sz="0" w:space="0" w:color="auto"/>
                      </w:divBdr>
                      <w:divsChild>
                        <w:div w:id="906300277">
                          <w:marLeft w:val="0"/>
                          <w:marRight w:val="0"/>
                          <w:marTop w:val="0"/>
                          <w:marBottom w:val="0"/>
                          <w:divBdr>
                            <w:top w:val="none" w:sz="0" w:space="0" w:color="auto"/>
                            <w:left w:val="none" w:sz="0" w:space="0" w:color="auto"/>
                            <w:bottom w:val="none" w:sz="0" w:space="0" w:color="auto"/>
                            <w:right w:val="none" w:sz="0" w:space="0" w:color="auto"/>
                          </w:divBdr>
                          <w:divsChild>
                            <w:div w:id="1962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244825">
      <w:bodyDiv w:val="1"/>
      <w:marLeft w:val="0"/>
      <w:marRight w:val="0"/>
      <w:marTop w:val="0"/>
      <w:marBottom w:val="0"/>
      <w:divBdr>
        <w:top w:val="none" w:sz="0" w:space="0" w:color="auto"/>
        <w:left w:val="none" w:sz="0" w:space="0" w:color="auto"/>
        <w:bottom w:val="none" w:sz="0" w:space="0" w:color="auto"/>
        <w:right w:val="none" w:sz="0" w:space="0" w:color="auto"/>
      </w:divBdr>
    </w:div>
    <w:div w:id="1179153406">
      <w:bodyDiv w:val="1"/>
      <w:marLeft w:val="0"/>
      <w:marRight w:val="0"/>
      <w:marTop w:val="0"/>
      <w:marBottom w:val="0"/>
      <w:divBdr>
        <w:top w:val="none" w:sz="0" w:space="0" w:color="auto"/>
        <w:left w:val="none" w:sz="0" w:space="0" w:color="auto"/>
        <w:bottom w:val="none" w:sz="0" w:space="0" w:color="auto"/>
        <w:right w:val="none" w:sz="0" w:space="0" w:color="auto"/>
      </w:divBdr>
    </w:div>
    <w:div w:id="1190484818">
      <w:bodyDiv w:val="1"/>
      <w:marLeft w:val="0"/>
      <w:marRight w:val="0"/>
      <w:marTop w:val="0"/>
      <w:marBottom w:val="0"/>
      <w:divBdr>
        <w:top w:val="none" w:sz="0" w:space="0" w:color="auto"/>
        <w:left w:val="none" w:sz="0" w:space="0" w:color="auto"/>
        <w:bottom w:val="none" w:sz="0" w:space="0" w:color="auto"/>
        <w:right w:val="none" w:sz="0" w:space="0" w:color="auto"/>
      </w:divBdr>
    </w:div>
    <w:div w:id="1323462798">
      <w:bodyDiv w:val="1"/>
      <w:marLeft w:val="0"/>
      <w:marRight w:val="0"/>
      <w:marTop w:val="0"/>
      <w:marBottom w:val="0"/>
      <w:divBdr>
        <w:top w:val="none" w:sz="0" w:space="0" w:color="auto"/>
        <w:left w:val="none" w:sz="0" w:space="0" w:color="auto"/>
        <w:bottom w:val="none" w:sz="0" w:space="0" w:color="auto"/>
        <w:right w:val="none" w:sz="0" w:space="0" w:color="auto"/>
      </w:divBdr>
    </w:div>
    <w:div w:id="1364476950">
      <w:bodyDiv w:val="1"/>
      <w:marLeft w:val="0"/>
      <w:marRight w:val="0"/>
      <w:marTop w:val="0"/>
      <w:marBottom w:val="0"/>
      <w:divBdr>
        <w:top w:val="none" w:sz="0" w:space="0" w:color="auto"/>
        <w:left w:val="none" w:sz="0" w:space="0" w:color="auto"/>
        <w:bottom w:val="none" w:sz="0" w:space="0" w:color="auto"/>
        <w:right w:val="none" w:sz="0" w:space="0" w:color="auto"/>
      </w:divBdr>
    </w:div>
    <w:div w:id="1373265536">
      <w:bodyDiv w:val="1"/>
      <w:marLeft w:val="0"/>
      <w:marRight w:val="0"/>
      <w:marTop w:val="0"/>
      <w:marBottom w:val="0"/>
      <w:divBdr>
        <w:top w:val="none" w:sz="0" w:space="0" w:color="auto"/>
        <w:left w:val="none" w:sz="0" w:space="0" w:color="auto"/>
        <w:bottom w:val="none" w:sz="0" w:space="0" w:color="auto"/>
        <w:right w:val="none" w:sz="0" w:space="0" w:color="auto"/>
      </w:divBdr>
    </w:div>
    <w:div w:id="1392774692">
      <w:bodyDiv w:val="1"/>
      <w:marLeft w:val="0"/>
      <w:marRight w:val="0"/>
      <w:marTop w:val="0"/>
      <w:marBottom w:val="0"/>
      <w:divBdr>
        <w:top w:val="none" w:sz="0" w:space="0" w:color="auto"/>
        <w:left w:val="none" w:sz="0" w:space="0" w:color="auto"/>
        <w:bottom w:val="none" w:sz="0" w:space="0" w:color="auto"/>
        <w:right w:val="none" w:sz="0" w:space="0" w:color="auto"/>
      </w:divBdr>
    </w:div>
    <w:div w:id="1406731263">
      <w:bodyDiv w:val="1"/>
      <w:marLeft w:val="0"/>
      <w:marRight w:val="0"/>
      <w:marTop w:val="0"/>
      <w:marBottom w:val="0"/>
      <w:divBdr>
        <w:top w:val="none" w:sz="0" w:space="0" w:color="auto"/>
        <w:left w:val="none" w:sz="0" w:space="0" w:color="auto"/>
        <w:bottom w:val="none" w:sz="0" w:space="0" w:color="auto"/>
        <w:right w:val="none" w:sz="0" w:space="0" w:color="auto"/>
      </w:divBdr>
    </w:div>
    <w:div w:id="1445271313">
      <w:bodyDiv w:val="1"/>
      <w:marLeft w:val="0"/>
      <w:marRight w:val="0"/>
      <w:marTop w:val="0"/>
      <w:marBottom w:val="0"/>
      <w:divBdr>
        <w:top w:val="none" w:sz="0" w:space="0" w:color="auto"/>
        <w:left w:val="none" w:sz="0" w:space="0" w:color="auto"/>
        <w:bottom w:val="none" w:sz="0" w:space="0" w:color="auto"/>
        <w:right w:val="none" w:sz="0" w:space="0" w:color="auto"/>
      </w:divBdr>
    </w:div>
    <w:div w:id="1466309309">
      <w:bodyDiv w:val="1"/>
      <w:marLeft w:val="0"/>
      <w:marRight w:val="0"/>
      <w:marTop w:val="0"/>
      <w:marBottom w:val="0"/>
      <w:divBdr>
        <w:top w:val="none" w:sz="0" w:space="0" w:color="auto"/>
        <w:left w:val="none" w:sz="0" w:space="0" w:color="auto"/>
        <w:bottom w:val="none" w:sz="0" w:space="0" w:color="auto"/>
        <w:right w:val="none" w:sz="0" w:space="0" w:color="auto"/>
      </w:divBdr>
    </w:div>
    <w:div w:id="1608460936">
      <w:bodyDiv w:val="1"/>
      <w:marLeft w:val="0"/>
      <w:marRight w:val="0"/>
      <w:marTop w:val="0"/>
      <w:marBottom w:val="0"/>
      <w:divBdr>
        <w:top w:val="none" w:sz="0" w:space="0" w:color="auto"/>
        <w:left w:val="none" w:sz="0" w:space="0" w:color="auto"/>
        <w:bottom w:val="none" w:sz="0" w:space="0" w:color="auto"/>
        <w:right w:val="none" w:sz="0" w:space="0" w:color="auto"/>
      </w:divBdr>
    </w:div>
    <w:div w:id="1667173094">
      <w:bodyDiv w:val="1"/>
      <w:marLeft w:val="0"/>
      <w:marRight w:val="0"/>
      <w:marTop w:val="0"/>
      <w:marBottom w:val="0"/>
      <w:divBdr>
        <w:top w:val="none" w:sz="0" w:space="0" w:color="auto"/>
        <w:left w:val="none" w:sz="0" w:space="0" w:color="auto"/>
        <w:bottom w:val="none" w:sz="0" w:space="0" w:color="auto"/>
        <w:right w:val="none" w:sz="0" w:space="0" w:color="auto"/>
      </w:divBdr>
    </w:div>
    <w:div w:id="1687513420">
      <w:bodyDiv w:val="1"/>
      <w:marLeft w:val="0"/>
      <w:marRight w:val="0"/>
      <w:marTop w:val="0"/>
      <w:marBottom w:val="0"/>
      <w:divBdr>
        <w:top w:val="none" w:sz="0" w:space="0" w:color="auto"/>
        <w:left w:val="none" w:sz="0" w:space="0" w:color="auto"/>
        <w:bottom w:val="none" w:sz="0" w:space="0" w:color="auto"/>
        <w:right w:val="none" w:sz="0" w:space="0" w:color="auto"/>
      </w:divBdr>
    </w:div>
    <w:div w:id="1712682612">
      <w:bodyDiv w:val="1"/>
      <w:marLeft w:val="0"/>
      <w:marRight w:val="0"/>
      <w:marTop w:val="0"/>
      <w:marBottom w:val="0"/>
      <w:divBdr>
        <w:top w:val="none" w:sz="0" w:space="0" w:color="auto"/>
        <w:left w:val="none" w:sz="0" w:space="0" w:color="auto"/>
        <w:bottom w:val="none" w:sz="0" w:space="0" w:color="auto"/>
        <w:right w:val="none" w:sz="0" w:space="0" w:color="auto"/>
      </w:divBdr>
    </w:div>
    <w:div w:id="1805999089">
      <w:bodyDiv w:val="1"/>
      <w:marLeft w:val="0"/>
      <w:marRight w:val="0"/>
      <w:marTop w:val="0"/>
      <w:marBottom w:val="0"/>
      <w:divBdr>
        <w:top w:val="none" w:sz="0" w:space="0" w:color="auto"/>
        <w:left w:val="none" w:sz="0" w:space="0" w:color="auto"/>
        <w:bottom w:val="none" w:sz="0" w:space="0" w:color="auto"/>
        <w:right w:val="none" w:sz="0" w:space="0" w:color="auto"/>
      </w:divBdr>
    </w:div>
    <w:div w:id="1816096069">
      <w:bodyDiv w:val="1"/>
      <w:marLeft w:val="0"/>
      <w:marRight w:val="0"/>
      <w:marTop w:val="0"/>
      <w:marBottom w:val="0"/>
      <w:divBdr>
        <w:top w:val="none" w:sz="0" w:space="0" w:color="auto"/>
        <w:left w:val="none" w:sz="0" w:space="0" w:color="auto"/>
        <w:bottom w:val="none" w:sz="0" w:space="0" w:color="auto"/>
        <w:right w:val="none" w:sz="0" w:space="0" w:color="auto"/>
      </w:divBdr>
    </w:div>
    <w:div w:id="1820345370">
      <w:bodyDiv w:val="1"/>
      <w:marLeft w:val="0"/>
      <w:marRight w:val="0"/>
      <w:marTop w:val="0"/>
      <w:marBottom w:val="0"/>
      <w:divBdr>
        <w:top w:val="none" w:sz="0" w:space="0" w:color="auto"/>
        <w:left w:val="none" w:sz="0" w:space="0" w:color="auto"/>
        <w:bottom w:val="none" w:sz="0" w:space="0" w:color="auto"/>
        <w:right w:val="none" w:sz="0" w:space="0" w:color="auto"/>
      </w:divBdr>
    </w:div>
    <w:div w:id="1863785106">
      <w:bodyDiv w:val="1"/>
      <w:marLeft w:val="0"/>
      <w:marRight w:val="0"/>
      <w:marTop w:val="0"/>
      <w:marBottom w:val="0"/>
      <w:divBdr>
        <w:top w:val="none" w:sz="0" w:space="0" w:color="auto"/>
        <w:left w:val="none" w:sz="0" w:space="0" w:color="auto"/>
        <w:bottom w:val="none" w:sz="0" w:space="0" w:color="auto"/>
        <w:right w:val="none" w:sz="0" w:space="0" w:color="auto"/>
      </w:divBdr>
      <w:divsChild>
        <w:div w:id="1729526715">
          <w:marLeft w:val="0"/>
          <w:marRight w:val="0"/>
          <w:marTop w:val="0"/>
          <w:marBottom w:val="0"/>
          <w:divBdr>
            <w:top w:val="none" w:sz="0" w:space="0" w:color="auto"/>
            <w:left w:val="none" w:sz="0" w:space="0" w:color="auto"/>
            <w:bottom w:val="none" w:sz="0" w:space="0" w:color="auto"/>
            <w:right w:val="none" w:sz="0" w:space="0" w:color="auto"/>
          </w:divBdr>
          <w:divsChild>
            <w:div w:id="315232420">
              <w:marLeft w:val="0"/>
              <w:marRight w:val="0"/>
              <w:marTop w:val="0"/>
              <w:marBottom w:val="0"/>
              <w:divBdr>
                <w:top w:val="none" w:sz="0" w:space="0" w:color="auto"/>
                <w:left w:val="none" w:sz="0" w:space="0" w:color="auto"/>
                <w:bottom w:val="none" w:sz="0" w:space="0" w:color="auto"/>
                <w:right w:val="none" w:sz="0" w:space="0" w:color="auto"/>
              </w:divBdr>
              <w:divsChild>
                <w:div w:id="1299649227">
                  <w:marLeft w:val="0"/>
                  <w:marRight w:val="0"/>
                  <w:marTop w:val="0"/>
                  <w:marBottom w:val="0"/>
                  <w:divBdr>
                    <w:top w:val="none" w:sz="0" w:space="0" w:color="auto"/>
                    <w:left w:val="none" w:sz="0" w:space="0" w:color="auto"/>
                    <w:bottom w:val="none" w:sz="0" w:space="0" w:color="auto"/>
                    <w:right w:val="none" w:sz="0" w:space="0" w:color="auto"/>
                  </w:divBdr>
                  <w:divsChild>
                    <w:div w:id="93331170">
                      <w:marLeft w:val="0"/>
                      <w:marRight w:val="0"/>
                      <w:marTop w:val="0"/>
                      <w:marBottom w:val="0"/>
                      <w:divBdr>
                        <w:top w:val="none" w:sz="0" w:space="0" w:color="auto"/>
                        <w:left w:val="none" w:sz="0" w:space="0" w:color="auto"/>
                        <w:bottom w:val="none" w:sz="0" w:space="0" w:color="auto"/>
                        <w:right w:val="none" w:sz="0" w:space="0" w:color="auto"/>
                      </w:divBdr>
                      <w:divsChild>
                        <w:div w:id="1955552429">
                          <w:marLeft w:val="0"/>
                          <w:marRight w:val="0"/>
                          <w:marTop w:val="0"/>
                          <w:marBottom w:val="0"/>
                          <w:divBdr>
                            <w:top w:val="none" w:sz="0" w:space="0" w:color="auto"/>
                            <w:left w:val="none" w:sz="0" w:space="0" w:color="auto"/>
                            <w:bottom w:val="none" w:sz="0" w:space="0" w:color="auto"/>
                            <w:right w:val="none" w:sz="0" w:space="0" w:color="auto"/>
                          </w:divBdr>
                          <w:divsChild>
                            <w:div w:id="90322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0727290">
      <w:bodyDiv w:val="1"/>
      <w:marLeft w:val="0"/>
      <w:marRight w:val="0"/>
      <w:marTop w:val="0"/>
      <w:marBottom w:val="0"/>
      <w:divBdr>
        <w:top w:val="none" w:sz="0" w:space="0" w:color="auto"/>
        <w:left w:val="none" w:sz="0" w:space="0" w:color="auto"/>
        <w:bottom w:val="none" w:sz="0" w:space="0" w:color="auto"/>
        <w:right w:val="none" w:sz="0" w:space="0" w:color="auto"/>
      </w:divBdr>
    </w:div>
    <w:div w:id="1927615957">
      <w:bodyDiv w:val="1"/>
      <w:marLeft w:val="0"/>
      <w:marRight w:val="0"/>
      <w:marTop w:val="0"/>
      <w:marBottom w:val="0"/>
      <w:divBdr>
        <w:top w:val="none" w:sz="0" w:space="0" w:color="auto"/>
        <w:left w:val="none" w:sz="0" w:space="0" w:color="auto"/>
        <w:bottom w:val="none" w:sz="0" w:space="0" w:color="auto"/>
        <w:right w:val="none" w:sz="0" w:space="0" w:color="auto"/>
      </w:divBdr>
    </w:div>
    <w:div w:id="1941788581">
      <w:bodyDiv w:val="1"/>
      <w:marLeft w:val="0"/>
      <w:marRight w:val="0"/>
      <w:marTop w:val="0"/>
      <w:marBottom w:val="0"/>
      <w:divBdr>
        <w:top w:val="none" w:sz="0" w:space="0" w:color="auto"/>
        <w:left w:val="none" w:sz="0" w:space="0" w:color="auto"/>
        <w:bottom w:val="none" w:sz="0" w:space="0" w:color="auto"/>
        <w:right w:val="none" w:sz="0" w:space="0" w:color="auto"/>
      </w:divBdr>
    </w:div>
    <w:div w:id="1996491545">
      <w:bodyDiv w:val="1"/>
      <w:marLeft w:val="0"/>
      <w:marRight w:val="0"/>
      <w:marTop w:val="0"/>
      <w:marBottom w:val="0"/>
      <w:divBdr>
        <w:top w:val="none" w:sz="0" w:space="0" w:color="auto"/>
        <w:left w:val="none" w:sz="0" w:space="0" w:color="auto"/>
        <w:bottom w:val="none" w:sz="0" w:space="0" w:color="auto"/>
        <w:right w:val="none" w:sz="0" w:space="0" w:color="auto"/>
      </w:divBdr>
    </w:div>
    <w:div w:id="2012296898">
      <w:bodyDiv w:val="1"/>
      <w:marLeft w:val="0"/>
      <w:marRight w:val="0"/>
      <w:marTop w:val="0"/>
      <w:marBottom w:val="0"/>
      <w:divBdr>
        <w:top w:val="none" w:sz="0" w:space="0" w:color="auto"/>
        <w:left w:val="none" w:sz="0" w:space="0" w:color="auto"/>
        <w:bottom w:val="none" w:sz="0" w:space="0" w:color="auto"/>
        <w:right w:val="none" w:sz="0" w:space="0" w:color="auto"/>
      </w:divBdr>
    </w:div>
    <w:div w:id="2043090499">
      <w:bodyDiv w:val="1"/>
      <w:marLeft w:val="0"/>
      <w:marRight w:val="0"/>
      <w:marTop w:val="0"/>
      <w:marBottom w:val="0"/>
      <w:divBdr>
        <w:top w:val="none" w:sz="0" w:space="0" w:color="auto"/>
        <w:left w:val="none" w:sz="0" w:space="0" w:color="auto"/>
        <w:bottom w:val="none" w:sz="0" w:space="0" w:color="auto"/>
        <w:right w:val="none" w:sz="0" w:space="0" w:color="auto"/>
      </w:divBdr>
    </w:div>
    <w:div w:id="2057467709">
      <w:bodyDiv w:val="1"/>
      <w:marLeft w:val="0"/>
      <w:marRight w:val="0"/>
      <w:marTop w:val="0"/>
      <w:marBottom w:val="0"/>
      <w:divBdr>
        <w:top w:val="none" w:sz="0" w:space="0" w:color="auto"/>
        <w:left w:val="none" w:sz="0" w:space="0" w:color="auto"/>
        <w:bottom w:val="none" w:sz="0" w:space="0" w:color="auto"/>
        <w:right w:val="none" w:sz="0" w:space="0" w:color="auto"/>
      </w:divBdr>
    </w:div>
    <w:div w:id="2070109787">
      <w:bodyDiv w:val="1"/>
      <w:marLeft w:val="0"/>
      <w:marRight w:val="0"/>
      <w:marTop w:val="0"/>
      <w:marBottom w:val="0"/>
      <w:divBdr>
        <w:top w:val="none" w:sz="0" w:space="0" w:color="auto"/>
        <w:left w:val="none" w:sz="0" w:space="0" w:color="auto"/>
        <w:bottom w:val="none" w:sz="0" w:space="0" w:color="auto"/>
        <w:right w:val="none" w:sz="0" w:space="0" w:color="auto"/>
      </w:divBdr>
    </w:div>
    <w:div w:id="2099136917">
      <w:bodyDiv w:val="1"/>
      <w:marLeft w:val="0"/>
      <w:marRight w:val="0"/>
      <w:marTop w:val="0"/>
      <w:marBottom w:val="0"/>
      <w:divBdr>
        <w:top w:val="none" w:sz="0" w:space="0" w:color="auto"/>
        <w:left w:val="none" w:sz="0" w:space="0" w:color="auto"/>
        <w:bottom w:val="none" w:sz="0" w:space="0" w:color="auto"/>
        <w:right w:val="none" w:sz="0" w:space="0" w:color="auto"/>
      </w:divBdr>
    </w:div>
    <w:div w:id="211847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F8847-6D8C-44B9-88B4-F82C68DE0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1123</Words>
  <Characters>6741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7849</CharactersWithSpaces>
  <SharedDoc>false</SharedDoc>
  <HLinks>
    <vt:vector size="6" baseType="variant">
      <vt:variant>
        <vt:i4>7471165</vt:i4>
      </vt:variant>
      <vt:variant>
        <vt:i4>0</vt:i4>
      </vt:variant>
      <vt:variant>
        <vt:i4>0</vt:i4>
      </vt:variant>
      <vt:variant>
        <vt:i4>5</vt:i4>
      </vt:variant>
      <vt:variant>
        <vt:lpwstr>https://thegreenman.group/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dc:description/>
  <cp:lastModifiedBy>Tomasz Pietrzak</cp:lastModifiedBy>
  <cp:revision>4</cp:revision>
  <dcterms:created xsi:type="dcterms:W3CDTF">2025-01-17T08:08:00Z</dcterms:created>
  <dcterms:modified xsi:type="dcterms:W3CDTF">2025-01-17T08:28:00Z</dcterms:modified>
</cp:coreProperties>
</file>