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6A04D" w14:textId="7F5FE9E0" w:rsidR="00931DF9" w:rsidRPr="00570D3B" w:rsidRDefault="00DF14C1" w:rsidP="0079451E">
      <w:pPr>
        <w:pStyle w:val="Bezodstpw"/>
        <w:jc w:val="both"/>
        <w:rPr>
          <w:rFonts w:ascii="Arial" w:hAnsi="Arial" w:cs="Arial"/>
          <w:sz w:val="20"/>
          <w:szCs w:val="20"/>
        </w:rPr>
      </w:pPr>
      <w:bookmarkStart w:id="0" w:name="_Hlk133229676"/>
      <w:r w:rsidRPr="00570D3B">
        <w:rPr>
          <w:noProof/>
        </w:rPr>
        <w:drawing>
          <wp:anchor distT="0" distB="0" distL="114300" distR="114300" simplePos="0" relativeHeight="251657728" behindDoc="0" locked="0" layoutInCell="1" allowOverlap="1" wp14:anchorId="61DB51D2" wp14:editId="1EC93555">
            <wp:simplePos x="0" y="0"/>
            <wp:positionH relativeFrom="column">
              <wp:posOffset>1973580</wp:posOffset>
            </wp:positionH>
            <wp:positionV relativeFrom="paragraph">
              <wp:posOffset>-585470</wp:posOffset>
            </wp:positionV>
            <wp:extent cx="1972310" cy="586740"/>
            <wp:effectExtent l="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310"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06970" w14:textId="77777777" w:rsidR="00931DF9" w:rsidRPr="00570D3B" w:rsidRDefault="00931DF9" w:rsidP="0079451E">
      <w:pPr>
        <w:pStyle w:val="Bezodstpw"/>
        <w:jc w:val="both"/>
        <w:rPr>
          <w:rFonts w:ascii="Arial" w:hAnsi="Arial" w:cs="Arial"/>
          <w:sz w:val="20"/>
          <w:szCs w:val="20"/>
        </w:rPr>
      </w:pPr>
    </w:p>
    <w:p w14:paraId="1099C1C3" w14:textId="2AA055BA" w:rsidR="00EA27B1" w:rsidRPr="00570D3B" w:rsidRDefault="005E0577" w:rsidP="0079451E">
      <w:pPr>
        <w:pStyle w:val="Bezodstpw"/>
        <w:jc w:val="both"/>
        <w:rPr>
          <w:rFonts w:ascii="Arial" w:hAnsi="Arial" w:cs="Arial"/>
          <w:sz w:val="18"/>
          <w:szCs w:val="18"/>
        </w:rPr>
      </w:pPr>
      <w:r>
        <w:rPr>
          <w:rFonts w:ascii="Arial" w:hAnsi="Arial" w:cs="Arial"/>
          <w:sz w:val="18"/>
          <w:szCs w:val="18"/>
        </w:rPr>
        <w:t>Materiał prasowy</w:t>
      </w:r>
      <w:r w:rsidR="00EA27B1" w:rsidRPr="00570D3B">
        <w:rPr>
          <w:rFonts w:ascii="Arial" w:hAnsi="Arial" w:cs="Arial"/>
          <w:sz w:val="18"/>
          <w:szCs w:val="18"/>
        </w:rPr>
        <w:t xml:space="preserve">: </w:t>
      </w:r>
      <w:r>
        <w:rPr>
          <w:rFonts w:ascii="Arial" w:hAnsi="Arial" w:cs="Arial"/>
          <w:sz w:val="18"/>
          <w:szCs w:val="18"/>
        </w:rPr>
        <w:t>27</w:t>
      </w:r>
      <w:r w:rsidR="006861F7">
        <w:rPr>
          <w:rFonts w:ascii="Arial" w:hAnsi="Arial" w:cs="Arial"/>
          <w:sz w:val="18"/>
          <w:szCs w:val="18"/>
        </w:rPr>
        <w:t>-11</w:t>
      </w:r>
      <w:r w:rsidR="00EA27B1" w:rsidRPr="00570D3B">
        <w:rPr>
          <w:rFonts w:ascii="Arial" w:hAnsi="Arial" w:cs="Arial"/>
          <w:sz w:val="18"/>
          <w:szCs w:val="18"/>
        </w:rPr>
        <w:t>-</w:t>
      </w:r>
      <w:r w:rsidR="00907F43" w:rsidRPr="00570D3B">
        <w:rPr>
          <w:rFonts w:ascii="Arial" w:hAnsi="Arial" w:cs="Arial"/>
          <w:sz w:val="18"/>
          <w:szCs w:val="18"/>
        </w:rPr>
        <w:t>2024</w:t>
      </w:r>
      <w:r w:rsidR="00EA27B1" w:rsidRPr="00570D3B">
        <w:rPr>
          <w:rFonts w:ascii="Arial" w:hAnsi="Arial" w:cs="Arial"/>
          <w:sz w:val="18"/>
          <w:szCs w:val="18"/>
        </w:rPr>
        <w:t xml:space="preserve">, </w:t>
      </w:r>
      <w:r w:rsidR="004564A2" w:rsidRPr="00570D3B">
        <w:rPr>
          <w:rFonts w:ascii="Arial" w:hAnsi="Arial" w:cs="Arial"/>
          <w:sz w:val="18"/>
          <w:szCs w:val="18"/>
        </w:rPr>
        <w:t>Warszawa</w:t>
      </w:r>
    </w:p>
    <w:p w14:paraId="75AB01AC"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Biuro Prasowe </w:t>
      </w:r>
      <w:r w:rsidR="004564A2" w:rsidRPr="00570D3B">
        <w:rPr>
          <w:rFonts w:ascii="Arial" w:hAnsi="Arial" w:cs="Arial"/>
          <w:sz w:val="18"/>
          <w:szCs w:val="18"/>
        </w:rPr>
        <w:t>Greenman Poland</w:t>
      </w:r>
    </w:p>
    <w:p w14:paraId="3C6C074A"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Tomasz Pietrzak/Guarana PR</w:t>
      </w:r>
    </w:p>
    <w:p w14:paraId="176079A0"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tel. 509 106 256 mail. </w:t>
      </w:r>
      <w:r w:rsidR="00931DF9" w:rsidRPr="00570D3B">
        <w:rPr>
          <w:rFonts w:ascii="Arial" w:hAnsi="Arial" w:cs="Arial"/>
          <w:sz w:val="18"/>
          <w:szCs w:val="18"/>
        </w:rPr>
        <w:t>t</w:t>
      </w:r>
      <w:r w:rsidR="004B46C7" w:rsidRPr="00570D3B">
        <w:rPr>
          <w:rFonts w:ascii="Arial" w:hAnsi="Arial" w:cs="Arial"/>
          <w:sz w:val="18"/>
          <w:szCs w:val="18"/>
        </w:rPr>
        <w:t>omasz.pietrzak[at]guaranapr.pl</w:t>
      </w:r>
    </w:p>
    <w:p w14:paraId="380C0DA5" w14:textId="77777777" w:rsidR="000D48B9" w:rsidRPr="00570D3B" w:rsidRDefault="000D48B9" w:rsidP="006861F7">
      <w:pPr>
        <w:pStyle w:val="Bezodstpw"/>
        <w:jc w:val="center"/>
        <w:rPr>
          <w:rFonts w:ascii="Arial" w:hAnsi="Arial" w:cs="Arial"/>
          <w:sz w:val="20"/>
          <w:szCs w:val="20"/>
        </w:rPr>
      </w:pPr>
    </w:p>
    <w:p w14:paraId="2F51304C" w14:textId="77777777" w:rsidR="00F512DE" w:rsidRPr="00D77B4C" w:rsidRDefault="00F512DE" w:rsidP="006861F7">
      <w:pPr>
        <w:pStyle w:val="Bezodstpw"/>
        <w:jc w:val="center"/>
        <w:rPr>
          <w:rFonts w:ascii="Arial" w:hAnsi="Arial" w:cs="Arial"/>
          <w:sz w:val="20"/>
          <w:szCs w:val="20"/>
        </w:rPr>
      </w:pPr>
    </w:p>
    <w:p w14:paraId="6F9C8F50" w14:textId="7BA04E8C" w:rsidR="00F512DE" w:rsidRPr="005E0577" w:rsidRDefault="006861F7" w:rsidP="006861F7">
      <w:pPr>
        <w:pStyle w:val="Bezodstpw"/>
        <w:jc w:val="center"/>
        <w:rPr>
          <w:rFonts w:ascii="Arial" w:hAnsi="Arial" w:cs="Arial"/>
          <w:b/>
          <w:bCs/>
          <w:sz w:val="28"/>
          <w:szCs w:val="28"/>
        </w:rPr>
      </w:pPr>
      <w:r w:rsidRPr="005E0577">
        <w:rPr>
          <w:rFonts w:ascii="Arial" w:hAnsi="Arial" w:cs="Arial"/>
          <w:b/>
          <w:bCs/>
          <w:sz w:val="28"/>
          <w:szCs w:val="28"/>
        </w:rPr>
        <w:t>Sektor convenience rośnie</w:t>
      </w:r>
      <w:r w:rsidR="00EF3F86" w:rsidRPr="005E0577">
        <w:rPr>
          <w:rFonts w:ascii="Arial" w:hAnsi="Arial" w:cs="Arial"/>
          <w:b/>
          <w:bCs/>
          <w:sz w:val="28"/>
          <w:szCs w:val="28"/>
        </w:rPr>
        <w:t xml:space="preserve"> </w:t>
      </w:r>
      <w:r w:rsidR="00392BFD" w:rsidRPr="005E0577">
        <w:rPr>
          <w:rFonts w:ascii="Arial" w:hAnsi="Arial" w:cs="Arial"/>
          <w:b/>
          <w:bCs/>
          <w:sz w:val="28"/>
          <w:szCs w:val="28"/>
        </w:rPr>
        <w:t xml:space="preserve">- </w:t>
      </w:r>
      <w:r w:rsidR="00EF3F86" w:rsidRPr="005E0577">
        <w:rPr>
          <w:rFonts w:ascii="Arial" w:hAnsi="Arial" w:cs="Arial"/>
          <w:b/>
          <w:bCs/>
          <w:sz w:val="28"/>
          <w:szCs w:val="28"/>
        </w:rPr>
        <w:t xml:space="preserve">przyciąga </w:t>
      </w:r>
      <w:r w:rsidR="00392BFD" w:rsidRPr="005E0577">
        <w:rPr>
          <w:rFonts w:ascii="Arial" w:hAnsi="Arial" w:cs="Arial"/>
          <w:b/>
          <w:bCs/>
          <w:sz w:val="28"/>
          <w:szCs w:val="28"/>
        </w:rPr>
        <w:t>najemców i</w:t>
      </w:r>
      <w:r w:rsidR="00EF3F86" w:rsidRPr="005E0577">
        <w:rPr>
          <w:rFonts w:ascii="Arial" w:hAnsi="Arial" w:cs="Arial"/>
          <w:b/>
          <w:bCs/>
          <w:sz w:val="28"/>
          <w:szCs w:val="28"/>
        </w:rPr>
        <w:t xml:space="preserve"> klientów</w:t>
      </w:r>
    </w:p>
    <w:p w14:paraId="0AC78F02" w14:textId="77777777" w:rsidR="006861F7" w:rsidRPr="005E0577" w:rsidRDefault="006861F7" w:rsidP="006861F7">
      <w:pPr>
        <w:pStyle w:val="Bezodstpw"/>
        <w:jc w:val="center"/>
        <w:rPr>
          <w:rFonts w:ascii="Arial" w:hAnsi="Arial" w:cs="Arial"/>
          <w:b/>
          <w:bCs/>
          <w:sz w:val="28"/>
          <w:szCs w:val="28"/>
        </w:rPr>
      </w:pPr>
    </w:p>
    <w:p w14:paraId="6432EDB7" w14:textId="77777777"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Na polskim rynku nieruchomości przybywa obiektów typu convenience. Nowe inwestycje pojawiają się w aglomeracjach i w mniejszych miejscowościach, a te obecne od lat na rynku modernizują się. O rozwoju sektora convenience i jego rosnącym potencjale mówi Karolina Nitowska, Leasing Director w Greenman Poland.</w:t>
      </w:r>
    </w:p>
    <w:p w14:paraId="10D676DA" w14:textId="77777777" w:rsidR="00F512DE" w:rsidRPr="005E0577" w:rsidRDefault="00F512DE" w:rsidP="00F512DE">
      <w:pPr>
        <w:pStyle w:val="Bezodstpw"/>
        <w:jc w:val="both"/>
        <w:rPr>
          <w:rFonts w:ascii="Arial" w:hAnsi="Arial" w:cs="Arial"/>
          <w:sz w:val="20"/>
          <w:szCs w:val="20"/>
        </w:rPr>
      </w:pPr>
    </w:p>
    <w:p w14:paraId="0E9A35DB" w14:textId="6E5772AE"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W jakiej kondycji jest segment convenience</w:t>
      </w:r>
      <w:r w:rsidR="00F80357">
        <w:rPr>
          <w:rFonts w:ascii="Arial" w:hAnsi="Arial" w:cs="Arial"/>
          <w:b/>
          <w:bCs/>
          <w:sz w:val="20"/>
          <w:szCs w:val="20"/>
        </w:rPr>
        <w:t>?</w:t>
      </w:r>
      <w:r w:rsidRPr="005E0577">
        <w:rPr>
          <w:rFonts w:ascii="Arial" w:hAnsi="Arial" w:cs="Arial"/>
          <w:b/>
          <w:bCs/>
          <w:sz w:val="20"/>
          <w:szCs w:val="20"/>
        </w:rPr>
        <w:t xml:space="preserve">  Boom wciąż trwa czy słabnie? </w:t>
      </w:r>
    </w:p>
    <w:p w14:paraId="4D10CFED" w14:textId="77777777" w:rsidR="00F512DE" w:rsidRPr="005E0577" w:rsidRDefault="00F512DE" w:rsidP="00F512DE">
      <w:pPr>
        <w:pStyle w:val="Bezodstpw"/>
        <w:jc w:val="both"/>
        <w:rPr>
          <w:rFonts w:ascii="Arial" w:hAnsi="Arial" w:cs="Arial"/>
          <w:sz w:val="20"/>
          <w:szCs w:val="20"/>
        </w:rPr>
      </w:pPr>
    </w:p>
    <w:p w14:paraId="190587E0" w14:textId="54B20754"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Karolina Nitowska:</w:t>
      </w:r>
      <w:r w:rsidRPr="005E0577">
        <w:rPr>
          <w:rFonts w:ascii="Arial" w:hAnsi="Arial" w:cs="Arial"/>
          <w:sz w:val="20"/>
          <w:szCs w:val="20"/>
        </w:rPr>
        <w:t xml:space="preserve"> Możemy dziś śmiało mówić o dynamicznym rozwoju segmentu convenience, a także o wychodzeniu z niszy rynkowej. To trend, który umacnia się, tym bardziej, że napędza go zarówno konsument, jak i najemca. Nie brakuje również zainteresowania ze strony inwestorów. Jak czytamy w raporcie „Investing in safe havens”, samych tylko parków handlowych mających powyżej 5 tys. m kw. jest już 260. Na przestrzeni ostatnich lat udział tego formatu w rynku uległ podwojeniu i wynosi dziś 18%. Aż 50% nowych inwestycji powstało w ostatnich 4 latach. Tylko w I połowie tego roku w Polsce otwarto 16 nowych parków handlowych oraz zrealizowano 5 rozbudów o park handlowy. To już dane PRCH. Również Greenman Poland w tym roku przyczynił się do wzrostu podaży, otwierając retail park przy zmodernizowanym centrum handlowym Nowa Górna w Łodzi. Rozwój sektora widać więc w liczbach, ale nie tylko. </w:t>
      </w:r>
    </w:p>
    <w:p w14:paraId="043A4883" w14:textId="77777777" w:rsidR="00F512DE" w:rsidRPr="005E0577" w:rsidRDefault="00F512DE" w:rsidP="00F512DE">
      <w:pPr>
        <w:pStyle w:val="Bezodstpw"/>
        <w:jc w:val="both"/>
        <w:rPr>
          <w:rFonts w:ascii="Arial" w:hAnsi="Arial" w:cs="Arial"/>
          <w:sz w:val="20"/>
          <w:szCs w:val="20"/>
        </w:rPr>
      </w:pPr>
    </w:p>
    <w:p w14:paraId="4AFC7C8A" w14:textId="77777777"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W czym jeszcze?</w:t>
      </w:r>
    </w:p>
    <w:p w14:paraId="5342A7C1" w14:textId="77777777" w:rsidR="00F512DE" w:rsidRPr="005E0577" w:rsidRDefault="00F512DE" w:rsidP="00F512DE">
      <w:pPr>
        <w:pStyle w:val="Bezodstpw"/>
        <w:jc w:val="both"/>
        <w:rPr>
          <w:rFonts w:ascii="Arial" w:hAnsi="Arial" w:cs="Arial"/>
          <w:sz w:val="20"/>
          <w:szCs w:val="20"/>
        </w:rPr>
      </w:pPr>
    </w:p>
    <w:p w14:paraId="3F2A66FD" w14:textId="23D9AC08"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K.N.:</w:t>
      </w:r>
      <w:r w:rsidRPr="005E0577">
        <w:rPr>
          <w:rFonts w:ascii="Arial" w:hAnsi="Arial" w:cs="Arial"/>
          <w:sz w:val="20"/>
          <w:szCs w:val="20"/>
        </w:rPr>
        <w:t xml:space="preserve"> Na polskim rynku pojawiają się dziś zróżnicowane formaty, co sprawia, że – jak czytamy w raporcie „Investing in safe havens” – już niemal 50% Polaków ma w 15 minutowym zasięgu obiekt convenience. Dynamicznie rośnie liczba parków handlowych o powierzchni mniejszej niż 5 tys. m kw. Inwestycje te uzupełniają lokalną ofertę handlową, zwłaszcza w mniejszych miastach, a także pojawiają się coraz bliżej klienta, np. na trasach „w drodze do domu”, w centrach dużych osiedli czy na obrzeżach miast, przy kluczowych drogach dojazdowych. Powstają również obiekty o powierzchni większej niż 10 tys. m kw., które charakteryzuje zróżnicowany tenant-mix, często oparty na markach lifestylowych. Realizacje te stają się konkurencją dla dużych, regionalnych centrów handlowych. Na rynku pojawia się także coraz więcej </w:t>
      </w:r>
      <w:r w:rsidRPr="00F80357">
        <w:rPr>
          <w:rFonts w:ascii="Arial" w:hAnsi="Arial" w:cs="Arial"/>
          <w:i/>
          <w:iCs/>
          <w:sz w:val="20"/>
          <w:szCs w:val="20"/>
        </w:rPr>
        <w:t>power centers</w:t>
      </w:r>
      <w:r w:rsidRPr="005E0577">
        <w:rPr>
          <w:rFonts w:ascii="Arial" w:hAnsi="Arial" w:cs="Arial"/>
          <w:sz w:val="20"/>
          <w:szCs w:val="20"/>
        </w:rPr>
        <w:t xml:space="preserve"> i hubów convenience, które umiejętnie wykorzystują efekt synergii. Przykładem są centra Nowe Bielawy i Nowa Górna z portfolio Greenman Poland. To obiekty, które w ciągu ostatnich dwóch lat nie tylko zmodernizowano, ale także rozbudowano o atrakcyjne parki handlowe. Te inwestycje pozwoliły stworzyć nowoczesne kompleksy w Toruniu i Łodzi z konkurencyjną, lokalną ofertą. Przez rynek przetacza się również fala modernizacji. Starsze inwestycje są obecnie poddawane przebudowom lub rozbudowom i dostosowywane do aktualnych potrzeb. Sektor zatem elastycznie reaguje na zmiany i podąża za nimi.</w:t>
      </w:r>
    </w:p>
    <w:p w14:paraId="58BDC383" w14:textId="77777777" w:rsidR="00F512DE" w:rsidRPr="005E0577" w:rsidRDefault="00F512DE" w:rsidP="00F512DE">
      <w:pPr>
        <w:pStyle w:val="Bezodstpw"/>
        <w:jc w:val="both"/>
        <w:rPr>
          <w:rFonts w:ascii="Arial" w:hAnsi="Arial" w:cs="Arial"/>
          <w:sz w:val="20"/>
          <w:szCs w:val="20"/>
        </w:rPr>
      </w:pPr>
    </w:p>
    <w:p w14:paraId="03025CFF" w14:textId="70273990"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 xml:space="preserve">Co </w:t>
      </w:r>
      <w:r w:rsidR="00F80357">
        <w:rPr>
          <w:rFonts w:ascii="Arial" w:hAnsi="Arial" w:cs="Arial"/>
          <w:b/>
          <w:bCs/>
          <w:sz w:val="20"/>
          <w:szCs w:val="20"/>
        </w:rPr>
        <w:t>obecnie</w:t>
      </w:r>
      <w:r w:rsidRPr="005E0577">
        <w:rPr>
          <w:rFonts w:ascii="Arial" w:hAnsi="Arial" w:cs="Arial"/>
          <w:b/>
          <w:bCs/>
          <w:sz w:val="20"/>
          <w:szCs w:val="20"/>
        </w:rPr>
        <w:t>, w Pani opinii, sprawia, że Polacy tak chętnie wybierają parki handlowe i centra convenience?</w:t>
      </w:r>
    </w:p>
    <w:p w14:paraId="0CB66567" w14:textId="77777777" w:rsidR="00F512DE" w:rsidRPr="005E0577" w:rsidRDefault="00F512DE" w:rsidP="00F512DE">
      <w:pPr>
        <w:pStyle w:val="Bezodstpw"/>
        <w:jc w:val="both"/>
        <w:rPr>
          <w:rFonts w:ascii="Arial" w:hAnsi="Arial" w:cs="Arial"/>
          <w:sz w:val="20"/>
          <w:szCs w:val="20"/>
        </w:rPr>
      </w:pPr>
    </w:p>
    <w:p w14:paraId="1F510B56" w14:textId="79981063"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K.N.:</w:t>
      </w:r>
      <w:r w:rsidRPr="005E0577">
        <w:rPr>
          <w:rFonts w:ascii="Arial" w:hAnsi="Arial" w:cs="Arial"/>
          <w:sz w:val="20"/>
          <w:szCs w:val="20"/>
        </w:rPr>
        <w:t xml:space="preserve"> Ich </w:t>
      </w:r>
      <w:r w:rsidR="00EF3F86" w:rsidRPr="005E0577">
        <w:rPr>
          <w:rFonts w:ascii="Arial" w:hAnsi="Arial" w:cs="Arial"/>
          <w:sz w:val="20"/>
          <w:szCs w:val="20"/>
        </w:rPr>
        <w:t>dostępność</w:t>
      </w:r>
      <w:r w:rsidR="009721C9" w:rsidRPr="005E0577">
        <w:rPr>
          <w:rFonts w:ascii="Arial" w:hAnsi="Arial" w:cs="Arial"/>
          <w:sz w:val="20"/>
          <w:szCs w:val="20"/>
        </w:rPr>
        <w:t xml:space="preserve"> i </w:t>
      </w:r>
      <w:r w:rsidRPr="005E0577">
        <w:rPr>
          <w:rFonts w:ascii="Arial" w:hAnsi="Arial" w:cs="Arial"/>
          <w:sz w:val="20"/>
          <w:szCs w:val="20"/>
        </w:rPr>
        <w:t>oferta</w:t>
      </w:r>
      <w:r w:rsidR="009721C9" w:rsidRPr="005E0577">
        <w:rPr>
          <w:rFonts w:ascii="Arial" w:hAnsi="Arial" w:cs="Arial"/>
          <w:sz w:val="20"/>
          <w:szCs w:val="20"/>
        </w:rPr>
        <w:t xml:space="preserve"> na codzienne</w:t>
      </w:r>
      <w:r w:rsidR="000129A6" w:rsidRPr="005E0577">
        <w:rPr>
          <w:rFonts w:ascii="Arial" w:hAnsi="Arial" w:cs="Arial"/>
          <w:sz w:val="20"/>
          <w:szCs w:val="20"/>
        </w:rPr>
        <w:t>, wygodne</w:t>
      </w:r>
      <w:r w:rsidR="009721C9" w:rsidRPr="005E0577">
        <w:rPr>
          <w:rFonts w:ascii="Arial" w:hAnsi="Arial" w:cs="Arial"/>
          <w:sz w:val="20"/>
          <w:szCs w:val="20"/>
        </w:rPr>
        <w:t xml:space="preserve"> zakupy</w:t>
      </w:r>
      <w:r w:rsidRPr="005E0577">
        <w:rPr>
          <w:rFonts w:ascii="Arial" w:hAnsi="Arial" w:cs="Arial"/>
          <w:sz w:val="20"/>
          <w:szCs w:val="20"/>
        </w:rPr>
        <w:t>. Obiekty convenience są zdecydowanie bliżej klienta, jego potrzeb zakupowych, miejsca zamieszkania, pracy czy uczęszczanych codziennie tras. To przyciąga uwagę i zachęca do wizyt. Istotnym czynnikiem jest również penetracja rynku oraz łatwość dostępu. Obiekty tego typu funkcjonują na rynkach różnej skali, wprowadzając na nie marki, których oczekują klienci. Widać to na przykładzie retail parków. Jak czytamy w raporcie „Rynek obiektów handlowych w Polsce”, przygotowanym przez PRCH, aż 44% retail parków zlokalizowanych jest w miejscowościach poniżej 100 tys. mieszkańców, podczas gdy 41% znajduje się w największych aglomeracjach. Klient, niezależnie od miejsca zamieszkania, może więc korzystać z ich oferty. Przykładem jest portfolio Greenman Poland, obejmujące zarówno duże miasta, takie jak Łódź (Nowa Górna) czy Kraków (Nowe Czyżyny), jak i mniejsze miejscowości, takie jak Namysłów czy Grodzisk Mazowiecki.</w:t>
      </w:r>
    </w:p>
    <w:p w14:paraId="032C97D2" w14:textId="42B792D3" w:rsidR="00F512DE" w:rsidRPr="005E0577" w:rsidRDefault="00F512DE" w:rsidP="00F512DE">
      <w:pPr>
        <w:pStyle w:val="Bezodstpw"/>
        <w:jc w:val="both"/>
        <w:rPr>
          <w:rFonts w:ascii="Arial" w:hAnsi="Arial" w:cs="Arial"/>
          <w:sz w:val="20"/>
          <w:szCs w:val="20"/>
        </w:rPr>
      </w:pPr>
      <w:r w:rsidRPr="005E0577">
        <w:rPr>
          <w:rFonts w:ascii="Arial" w:hAnsi="Arial" w:cs="Arial"/>
          <w:sz w:val="20"/>
          <w:szCs w:val="20"/>
        </w:rPr>
        <w:lastRenderedPageBreak/>
        <w:t xml:space="preserve">Kluczowy dla atrakcyjności jest także tenant-mix, który uwzględnia specyfikę lokalnych rynków. Dzięki temu w parkach i centrach convenience dostępne są zarówno popularne marki, jak i nowe koncepty handlowe, w tym omnichannelowe, znane z dużych galerii handlowych. Klienci doceniają również, jak ewoluuje struktura oferty. Coraz częściej pojawiają się w niej znane brandy modowe, off-price, EDLP, home, sportowe, a także marki segmentów elektroniki, usług, a nawet gastronomii. To wszystko sprawia, że klient znajduje </w:t>
      </w:r>
      <w:r w:rsidR="006861F7" w:rsidRPr="005E0577">
        <w:rPr>
          <w:rFonts w:ascii="Arial" w:hAnsi="Arial" w:cs="Arial"/>
          <w:sz w:val="20"/>
          <w:szCs w:val="20"/>
        </w:rPr>
        <w:t>szeroki</w:t>
      </w:r>
      <w:r w:rsidRPr="005E0577">
        <w:rPr>
          <w:rFonts w:ascii="Arial" w:hAnsi="Arial" w:cs="Arial"/>
          <w:sz w:val="20"/>
          <w:szCs w:val="20"/>
        </w:rPr>
        <w:t xml:space="preserve"> wachlarz produktów i usług, dostosowanych zarówno do codziennych potrzeb, jak i lokalnych oczekiwań.</w:t>
      </w:r>
    </w:p>
    <w:p w14:paraId="60C901E5" w14:textId="77777777" w:rsidR="00F512DE" w:rsidRPr="005E0577" w:rsidRDefault="00F512DE" w:rsidP="00F512DE">
      <w:pPr>
        <w:pStyle w:val="Bezodstpw"/>
        <w:jc w:val="both"/>
        <w:rPr>
          <w:rFonts w:ascii="Arial" w:hAnsi="Arial" w:cs="Arial"/>
          <w:sz w:val="20"/>
          <w:szCs w:val="20"/>
        </w:rPr>
      </w:pPr>
    </w:p>
    <w:p w14:paraId="1A5A8749" w14:textId="77777777"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To konsumenci, a co przyciąga najemców do sektora convenience? Jaki potencjał branża widzi dziś w obecności w retail parku lub centrum w tym formacie?</w:t>
      </w:r>
    </w:p>
    <w:p w14:paraId="1E04C4E0" w14:textId="77777777" w:rsidR="00F512DE" w:rsidRPr="005E0577" w:rsidRDefault="00F512DE" w:rsidP="00F512DE">
      <w:pPr>
        <w:pStyle w:val="Bezodstpw"/>
        <w:jc w:val="both"/>
        <w:rPr>
          <w:rFonts w:ascii="Arial" w:hAnsi="Arial" w:cs="Arial"/>
          <w:sz w:val="20"/>
          <w:szCs w:val="20"/>
        </w:rPr>
      </w:pPr>
    </w:p>
    <w:p w14:paraId="3045FE2A" w14:textId="72A4ADF2"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K.N.:</w:t>
      </w:r>
      <w:r w:rsidRPr="005E0577">
        <w:rPr>
          <w:rFonts w:ascii="Arial" w:hAnsi="Arial" w:cs="Arial"/>
          <w:sz w:val="20"/>
          <w:szCs w:val="20"/>
        </w:rPr>
        <w:t xml:space="preserve"> Przede wszystkim jest to możliwość działania na nowych, perspektywicznych rynkach, charakteryzujących się wysokim potencjałem wzrostu, ograniczoną konkurencją i brakiem zjawiska kanibalizacji. Marki, które decydują się na wejście na te rynki, często w krótkim czasie zyskują nowych klientów i umacniają swoją lokalną pozycję. To przekłada się na niskie ryzyko. Dotyczy to zarówno obiektów nowo otwieranych, już działających, jak i przekształcanych, np. w huby convenience. Obiekty typu convenience wykazują również wyższą odporność na konkurencję ze strony e-commerce. Jest to możliwe dzięki obecności w ich ofercie marek ekonomicznych oraz brandów skoncentrowanych na sprzedaży stacjonarnej. Jednocześnie centra i parki handlowe pozostają atrakcyjne dla marek, które chcą efektywnie wprowadzać rozwiązania omnichannelowe także w mniejszych miejscowościach. Obecność w obiektach convenience to także gwarancja działania w stabilnym, sprzyjającym rozwojowi środowisku biznesowym. Duża retencja najemców wpływa na przewidywalność i bezpieczeństwo działalności. Ponadto marki zlokalizowane w takich obiektach często korzystają z efektu synergii, zwłaszcza w sytuacji, gdy w ich sąsiedztwie znajdują się inne popularne punkty handlowe, takie jak </w:t>
      </w:r>
      <w:r w:rsidR="00EF3F86" w:rsidRPr="005E0577">
        <w:rPr>
          <w:rFonts w:ascii="Arial" w:hAnsi="Arial" w:cs="Arial"/>
          <w:sz w:val="20"/>
          <w:szCs w:val="20"/>
        </w:rPr>
        <w:t>markety spożywcze czy sklepy meblowe</w:t>
      </w:r>
      <w:r w:rsidRPr="005E0577">
        <w:rPr>
          <w:rFonts w:ascii="Arial" w:hAnsi="Arial" w:cs="Arial"/>
          <w:sz w:val="20"/>
          <w:szCs w:val="20"/>
        </w:rPr>
        <w:t>. Warto również zwrócić uwagę na rosnące znaczenie trendu lokalnych zakupów wśród polskich konsumentów. Coraz częściej wybieramy szybkie i sąsiedzkie zakupy, co sprawia, że parki handlowe i centra convenience stają się pierwszym wyborem dla wielu klientów. To zjawisko podkreśla ich kluczową rolę w nowoczesnym ekosystemie handlowym.</w:t>
      </w:r>
    </w:p>
    <w:p w14:paraId="083459CB" w14:textId="77777777" w:rsidR="00F512DE" w:rsidRPr="005E0577" w:rsidRDefault="00F512DE" w:rsidP="00F512DE">
      <w:pPr>
        <w:pStyle w:val="Bezodstpw"/>
        <w:jc w:val="both"/>
        <w:rPr>
          <w:rFonts w:ascii="Arial" w:hAnsi="Arial" w:cs="Arial"/>
          <w:sz w:val="20"/>
          <w:szCs w:val="20"/>
        </w:rPr>
      </w:pPr>
    </w:p>
    <w:p w14:paraId="5B656DA0" w14:textId="019224C8"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Jak na tym tle zmieniają się obiekty z portfolio Greeenman Poland, np. centra convenience, które macie Państwo w 3 miastach</w:t>
      </w:r>
      <w:r w:rsidR="006861F7" w:rsidRPr="005E0577">
        <w:rPr>
          <w:rFonts w:ascii="Arial" w:hAnsi="Arial" w:cs="Arial"/>
          <w:b/>
          <w:bCs/>
          <w:sz w:val="20"/>
          <w:szCs w:val="20"/>
        </w:rPr>
        <w:t xml:space="preserve"> - </w:t>
      </w:r>
      <w:r w:rsidRPr="005E0577">
        <w:rPr>
          <w:rFonts w:ascii="Arial" w:hAnsi="Arial" w:cs="Arial"/>
          <w:b/>
          <w:bCs/>
          <w:sz w:val="20"/>
          <w:szCs w:val="20"/>
        </w:rPr>
        <w:t>Krakowie, Toruniu i Łodzi?</w:t>
      </w:r>
    </w:p>
    <w:p w14:paraId="5D2B8BC2" w14:textId="77777777" w:rsidR="00F512DE" w:rsidRPr="005E0577" w:rsidRDefault="00F512DE" w:rsidP="00F512DE">
      <w:pPr>
        <w:pStyle w:val="Bezodstpw"/>
        <w:jc w:val="both"/>
        <w:rPr>
          <w:rFonts w:ascii="Arial" w:hAnsi="Arial" w:cs="Arial"/>
          <w:sz w:val="20"/>
          <w:szCs w:val="20"/>
        </w:rPr>
      </w:pPr>
    </w:p>
    <w:p w14:paraId="36B476DF" w14:textId="06C846E0"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K.N.:</w:t>
      </w:r>
      <w:r w:rsidRPr="005E0577">
        <w:rPr>
          <w:rFonts w:ascii="Arial" w:hAnsi="Arial" w:cs="Arial"/>
          <w:sz w:val="20"/>
          <w:szCs w:val="20"/>
        </w:rPr>
        <w:t xml:space="preserve"> Obiekty te stale się rozwijają, i to w wielu obszarach. Ostatnie lata przyniosły Nowym Bielawom, Nowym Czyżynom oraz Nowej Górnej wielowymiarowe modernizacje pasaży, elewacji i otoczenia. Nowe Bielawy i Nowa Górna zostały natomiast w ostatnich dwóch latach rozbudowane odpowiednio o dwa i jeden park handlowy, w których </w:t>
      </w:r>
      <w:r w:rsidR="00EF3F86" w:rsidRPr="005E0577">
        <w:rPr>
          <w:rFonts w:ascii="Arial" w:hAnsi="Arial" w:cs="Arial"/>
          <w:sz w:val="20"/>
          <w:szCs w:val="20"/>
        </w:rPr>
        <w:t>debiutowały</w:t>
      </w:r>
      <w:r w:rsidRPr="005E0577">
        <w:rPr>
          <w:rFonts w:ascii="Arial" w:hAnsi="Arial" w:cs="Arial"/>
          <w:sz w:val="20"/>
          <w:szCs w:val="20"/>
        </w:rPr>
        <w:t xml:space="preserve"> marki, jak np. Action, Sinsay, Maxi Zoo, Neonet czy KiK. Dzięki temu udało nam się przekształcić centra w nowoczesne, rodzinne, modelowe na rynku huby convenience o zasięgu regionalnym, które skutecznie wykorzystują efekt synergii.</w:t>
      </w:r>
      <w:r w:rsidR="006861F7" w:rsidRPr="005E0577">
        <w:rPr>
          <w:rFonts w:ascii="Arial" w:hAnsi="Arial" w:cs="Arial"/>
          <w:sz w:val="20"/>
          <w:szCs w:val="20"/>
        </w:rPr>
        <w:t xml:space="preserve"> </w:t>
      </w:r>
      <w:r w:rsidRPr="005E0577">
        <w:rPr>
          <w:rFonts w:ascii="Arial" w:hAnsi="Arial" w:cs="Arial"/>
          <w:sz w:val="20"/>
          <w:szCs w:val="20"/>
        </w:rPr>
        <w:t xml:space="preserve">Jednocześnie stale unowocześniamy naszą ofertę. Tylko </w:t>
      </w:r>
      <w:r w:rsidR="006861F7" w:rsidRPr="005E0577">
        <w:rPr>
          <w:rFonts w:ascii="Arial" w:hAnsi="Arial" w:cs="Arial"/>
          <w:sz w:val="20"/>
          <w:szCs w:val="20"/>
        </w:rPr>
        <w:t xml:space="preserve">w </w:t>
      </w:r>
      <w:r w:rsidRPr="005E0577">
        <w:rPr>
          <w:rFonts w:ascii="Arial" w:hAnsi="Arial" w:cs="Arial"/>
          <w:sz w:val="20"/>
          <w:szCs w:val="20"/>
        </w:rPr>
        <w:t xml:space="preserve">trzech kwartałach tego roku aż </w:t>
      </w:r>
      <w:r w:rsidR="00AA39DD" w:rsidRPr="005E0577">
        <w:rPr>
          <w:rFonts w:ascii="Arial" w:hAnsi="Arial" w:cs="Arial"/>
          <w:sz w:val="20"/>
          <w:szCs w:val="20"/>
        </w:rPr>
        <w:t xml:space="preserve">30 </w:t>
      </w:r>
      <w:r w:rsidRPr="005E0577">
        <w:rPr>
          <w:rFonts w:ascii="Arial" w:hAnsi="Arial" w:cs="Arial"/>
          <w:sz w:val="20"/>
          <w:szCs w:val="20"/>
        </w:rPr>
        <w:t>najemców przedłużyło z nami umowy</w:t>
      </w:r>
      <w:r w:rsidR="00291734" w:rsidRPr="005E0577">
        <w:rPr>
          <w:rFonts w:ascii="Arial" w:hAnsi="Arial" w:cs="Arial"/>
          <w:sz w:val="20"/>
          <w:szCs w:val="20"/>
        </w:rPr>
        <w:t xml:space="preserve"> najmu</w:t>
      </w:r>
      <w:r w:rsidRPr="005E0577">
        <w:rPr>
          <w:rFonts w:ascii="Arial" w:hAnsi="Arial" w:cs="Arial"/>
          <w:sz w:val="20"/>
          <w:szCs w:val="20"/>
        </w:rPr>
        <w:t>. Oprócz tego kluczowi najemcy, tacy jak np. Douglas, Rossmann czy CCC, zdecydowali się na modernizację lokali i wprowadzenie nowych konceptów. Oferta centrów wzbogaciła się również o nowości</w:t>
      </w:r>
      <w:r w:rsidR="00EF3F86" w:rsidRPr="005E0577">
        <w:rPr>
          <w:rFonts w:ascii="Arial" w:hAnsi="Arial" w:cs="Arial"/>
          <w:sz w:val="20"/>
          <w:szCs w:val="20"/>
        </w:rPr>
        <w:t xml:space="preserve">. </w:t>
      </w:r>
      <w:r w:rsidRPr="005E0577">
        <w:rPr>
          <w:rFonts w:ascii="Arial" w:hAnsi="Arial" w:cs="Arial"/>
          <w:sz w:val="20"/>
          <w:szCs w:val="20"/>
        </w:rPr>
        <w:t>Te zmiany przybliżyły nas znacząco do poziomu 100% komercjalizacji całego portfolio.</w:t>
      </w:r>
    </w:p>
    <w:p w14:paraId="444117C3" w14:textId="77777777" w:rsidR="00F512DE" w:rsidRPr="005E0577" w:rsidRDefault="00F512DE" w:rsidP="00F512DE">
      <w:pPr>
        <w:pStyle w:val="Bezodstpw"/>
        <w:jc w:val="both"/>
        <w:rPr>
          <w:rFonts w:ascii="Arial" w:hAnsi="Arial" w:cs="Arial"/>
          <w:sz w:val="20"/>
          <w:szCs w:val="20"/>
        </w:rPr>
      </w:pPr>
      <w:r w:rsidRPr="005E0577">
        <w:rPr>
          <w:rFonts w:ascii="Arial" w:hAnsi="Arial" w:cs="Arial"/>
          <w:sz w:val="20"/>
          <w:szCs w:val="20"/>
        </w:rPr>
        <w:t xml:space="preserve"> </w:t>
      </w:r>
    </w:p>
    <w:p w14:paraId="10396A03" w14:textId="77777777" w:rsidR="00F512DE" w:rsidRPr="005E0577" w:rsidRDefault="00F512DE" w:rsidP="00F512DE">
      <w:pPr>
        <w:pStyle w:val="Bezodstpw"/>
        <w:jc w:val="both"/>
        <w:rPr>
          <w:rFonts w:ascii="Arial" w:hAnsi="Arial" w:cs="Arial"/>
          <w:b/>
          <w:bCs/>
          <w:sz w:val="20"/>
          <w:szCs w:val="20"/>
        </w:rPr>
      </w:pPr>
      <w:r w:rsidRPr="005E0577">
        <w:rPr>
          <w:rFonts w:ascii="Arial" w:hAnsi="Arial" w:cs="Arial"/>
          <w:b/>
          <w:bCs/>
          <w:sz w:val="20"/>
          <w:szCs w:val="20"/>
        </w:rPr>
        <w:t xml:space="preserve">Jak w Pani ocenie będzie rozwiał się rynek convenience? </w:t>
      </w:r>
    </w:p>
    <w:p w14:paraId="05A4A439" w14:textId="77777777" w:rsidR="00F512DE" w:rsidRPr="005E0577" w:rsidRDefault="00F512DE" w:rsidP="00F512DE">
      <w:pPr>
        <w:pStyle w:val="Bezodstpw"/>
        <w:jc w:val="both"/>
        <w:rPr>
          <w:rFonts w:ascii="Arial" w:hAnsi="Arial" w:cs="Arial"/>
          <w:b/>
          <w:bCs/>
          <w:sz w:val="20"/>
          <w:szCs w:val="20"/>
        </w:rPr>
      </w:pPr>
    </w:p>
    <w:p w14:paraId="183CDBDA" w14:textId="35814AC2" w:rsidR="00F512DE" w:rsidRPr="005E0577" w:rsidRDefault="00F512DE" w:rsidP="00F512DE">
      <w:pPr>
        <w:pStyle w:val="Bezodstpw"/>
        <w:jc w:val="both"/>
        <w:rPr>
          <w:rFonts w:ascii="Arial" w:hAnsi="Arial" w:cs="Arial"/>
          <w:sz w:val="20"/>
          <w:szCs w:val="20"/>
        </w:rPr>
      </w:pPr>
      <w:r w:rsidRPr="005E0577">
        <w:rPr>
          <w:rFonts w:ascii="Arial" w:hAnsi="Arial" w:cs="Arial"/>
          <w:b/>
          <w:bCs/>
          <w:sz w:val="20"/>
          <w:szCs w:val="20"/>
        </w:rPr>
        <w:t>K.N.:</w:t>
      </w:r>
      <w:r w:rsidRPr="005E0577">
        <w:rPr>
          <w:rFonts w:ascii="Arial" w:hAnsi="Arial" w:cs="Arial"/>
          <w:sz w:val="20"/>
          <w:szCs w:val="20"/>
        </w:rPr>
        <w:t xml:space="preserve"> Przede wszystkim będzie się dalej dywersyfikował oraz rewitalizował. Trwać będzie także ekspansja na mniejszych rynkach, na których doskonale radzą sobie np. retail parki. To przyczyni się do dalszej transformacji sektora nieruchomości komercyjnych. Przeobrażeniom ulegnie również tenant-mix, który stanie się bardziej zróżnicowany i komplementarny. Coraz więcej marek, które dotychczas unikały najmu w formacie convenience, zaczyna dostrzegać jego potencjał biznesowy, szczególnie w kontekście możliwości wejścia na nowe rynki lokalne. W obiektach pojawi się także więcej nowych rozwiązań technologicznych, w tym omnichannelowych. Ten trend już widzimy, a jest on efektem dużego zainteresowania marek lifestylowych. </w:t>
      </w:r>
    </w:p>
    <w:p w14:paraId="36B53B58" w14:textId="1B4719E3" w:rsidR="002D6472" w:rsidRPr="005E0577" w:rsidRDefault="002D6472" w:rsidP="002D6472">
      <w:pPr>
        <w:pStyle w:val="Bezodstpw"/>
        <w:rPr>
          <w:rFonts w:ascii="Arial" w:hAnsi="Arial" w:cs="Arial"/>
          <w:sz w:val="20"/>
          <w:szCs w:val="20"/>
        </w:rPr>
      </w:pPr>
    </w:p>
    <w:p w14:paraId="391370FE" w14:textId="16F8FC7F" w:rsidR="00E839F1" w:rsidRPr="005E0577" w:rsidRDefault="00E839F1" w:rsidP="00BC2DA7">
      <w:pPr>
        <w:pStyle w:val="Bezodstpw"/>
        <w:jc w:val="both"/>
        <w:rPr>
          <w:rFonts w:ascii="Arial" w:hAnsi="Arial" w:cs="Arial"/>
          <w:b/>
          <w:bCs/>
          <w:sz w:val="18"/>
          <w:szCs w:val="18"/>
          <w:lang w:val="en-US"/>
        </w:rPr>
      </w:pPr>
      <w:r w:rsidRPr="005E0577">
        <w:rPr>
          <w:rFonts w:ascii="Arial" w:hAnsi="Arial" w:cs="Arial"/>
          <w:b/>
          <w:bCs/>
          <w:sz w:val="18"/>
          <w:szCs w:val="18"/>
          <w:lang w:val="en-US"/>
        </w:rPr>
        <w:t>źródło: Greenman Poland/Guarana PR</w:t>
      </w:r>
    </w:p>
    <w:p w14:paraId="26160A0E" w14:textId="77777777" w:rsidR="00771DED" w:rsidRPr="005E0577" w:rsidRDefault="00771DED" w:rsidP="00771DED">
      <w:pPr>
        <w:pStyle w:val="Bezodstpw"/>
        <w:rPr>
          <w:rFonts w:ascii="Arial" w:hAnsi="Arial" w:cs="Arial"/>
          <w:sz w:val="20"/>
          <w:szCs w:val="20"/>
          <w:lang w:val="en-US"/>
        </w:rPr>
      </w:pPr>
    </w:p>
    <w:p w14:paraId="3019CD4D" w14:textId="77777777" w:rsidR="00FD47C4" w:rsidRPr="005E0577" w:rsidRDefault="00FD47C4" w:rsidP="00FD47C4">
      <w:pPr>
        <w:pStyle w:val="Bezodstpw"/>
        <w:jc w:val="both"/>
        <w:rPr>
          <w:rFonts w:ascii="Arial" w:hAnsi="Arial" w:cs="Arial"/>
          <w:sz w:val="20"/>
          <w:szCs w:val="20"/>
          <w:lang w:val="en-US"/>
        </w:rPr>
      </w:pPr>
    </w:p>
    <w:p w14:paraId="68E5BFAA" w14:textId="11B8DE1A" w:rsidR="006861F7" w:rsidRPr="005E0577" w:rsidRDefault="006861F7">
      <w:pPr>
        <w:spacing w:after="0" w:line="240" w:lineRule="auto"/>
        <w:rPr>
          <w:rFonts w:ascii="Arial" w:hAnsi="Arial" w:cs="Arial"/>
          <w:sz w:val="20"/>
          <w:szCs w:val="20"/>
          <w:lang w:val="en-US"/>
        </w:rPr>
      </w:pPr>
      <w:r w:rsidRPr="005E0577">
        <w:rPr>
          <w:rFonts w:ascii="Arial" w:hAnsi="Arial" w:cs="Arial"/>
          <w:sz w:val="20"/>
          <w:szCs w:val="20"/>
          <w:lang w:val="en-US"/>
        </w:rPr>
        <w:br w:type="page"/>
      </w:r>
    </w:p>
    <w:p w14:paraId="7C2D4D9B" w14:textId="77777777" w:rsidR="00FD47C4" w:rsidRPr="00967EA3" w:rsidRDefault="00FD47C4" w:rsidP="00FD47C4">
      <w:pPr>
        <w:pStyle w:val="Bezodstpw"/>
        <w:jc w:val="both"/>
        <w:rPr>
          <w:rFonts w:ascii="Arial" w:hAnsi="Arial" w:cs="Arial"/>
          <w:sz w:val="20"/>
          <w:szCs w:val="20"/>
          <w:lang w:val="en-US"/>
        </w:rPr>
      </w:pPr>
    </w:p>
    <w:p w14:paraId="52C1B989" w14:textId="77777777" w:rsidR="009A3CBB" w:rsidRPr="002D6472" w:rsidRDefault="009A3CBB" w:rsidP="009A3CBB">
      <w:pPr>
        <w:tabs>
          <w:tab w:val="left" w:pos="1695"/>
        </w:tabs>
        <w:jc w:val="both"/>
        <w:rPr>
          <w:rFonts w:ascii="Arial" w:hAnsi="Arial" w:cs="Arial"/>
          <w:color w:val="808080" w:themeColor="background1" w:themeShade="80"/>
          <w:sz w:val="16"/>
          <w:szCs w:val="16"/>
          <w:shd w:val="clear" w:color="auto" w:fill="FFFFFF"/>
          <w:lang w:val="en-US"/>
        </w:rPr>
      </w:pPr>
      <w:r w:rsidRPr="002D6472">
        <w:rPr>
          <w:rFonts w:ascii="Arial" w:hAnsi="Arial" w:cs="Arial"/>
          <w:color w:val="808080" w:themeColor="background1" w:themeShade="80"/>
          <w:sz w:val="16"/>
          <w:szCs w:val="16"/>
          <w:shd w:val="clear" w:color="auto" w:fill="FFFFFF"/>
          <w:lang w:val="en-US"/>
        </w:rPr>
        <w:t>***</w:t>
      </w:r>
      <w:r w:rsidRPr="002D6472">
        <w:rPr>
          <w:rFonts w:ascii="Arial" w:hAnsi="Arial" w:cs="Arial"/>
          <w:color w:val="808080" w:themeColor="background1" w:themeShade="80"/>
          <w:sz w:val="16"/>
          <w:szCs w:val="16"/>
          <w:shd w:val="clear" w:color="auto" w:fill="FFFFFF"/>
          <w:lang w:val="en-US"/>
        </w:rPr>
        <w:tab/>
      </w:r>
    </w:p>
    <w:p w14:paraId="7872E260" w14:textId="158FDD99" w:rsidR="00DD3069" w:rsidRPr="002D6472" w:rsidRDefault="00DD3069" w:rsidP="00DD3069">
      <w:pPr>
        <w:pStyle w:val="Bezodstpw"/>
        <w:jc w:val="both"/>
        <w:rPr>
          <w:rFonts w:ascii="Arial" w:hAnsi="Arial" w:cs="Arial"/>
          <w:color w:val="808080" w:themeColor="background1" w:themeShade="80"/>
          <w:sz w:val="16"/>
          <w:szCs w:val="16"/>
          <w:shd w:val="clear" w:color="auto" w:fill="FFFFFF"/>
        </w:rPr>
      </w:pPr>
      <w:r w:rsidRPr="002D6472">
        <w:rPr>
          <w:rFonts w:ascii="Arial" w:hAnsi="Arial" w:cs="Arial"/>
          <w:color w:val="808080" w:themeColor="background1" w:themeShade="80"/>
          <w:sz w:val="16"/>
          <w:szCs w:val="16"/>
          <w:shd w:val="clear" w:color="auto" w:fill="FFFFFF"/>
        </w:rPr>
        <w:t xml:space="preserve">Greenman Poland jest częścią </w:t>
      </w:r>
      <w:r w:rsidRPr="002D6472">
        <w:rPr>
          <w:rFonts w:ascii="Arial" w:hAnsi="Arial" w:cs="Arial"/>
          <w:b/>
          <w:bCs/>
          <w:color w:val="808080" w:themeColor="background1" w:themeShade="80"/>
          <w:sz w:val="16"/>
          <w:szCs w:val="16"/>
          <w:shd w:val="clear" w:color="auto" w:fill="FFFFFF"/>
        </w:rPr>
        <w:t>Greenman Group</w:t>
      </w:r>
      <w:r w:rsidRPr="002D6472">
        <w:rPr>
          <w:rFonts w:ascii="Arial" w:hAnsi="Arial" w:cs="Arial"/>
          <w:color w:val="808080" w:themeColor="background1" w:themeShade="80"/>
          <w:sz w:val="16"/>
          <w:szCs w:val="16"/>
          <w:shd w:val="clear" w:color="auto" w:fill="FFFFFF"/>
        </w:rPr>
        <w:t>, grupy spółek zależnych, obejmującej podmioty podlegające regulacjom Centralnego Banku Irlandii (CBI), CSSF i inne kontrolowane przez jeden podmiot – Greenman Holdings Limited. Grupa powstała w 2020 roku, jej główna siedziba znajduje się w Dublinie</w:t>
      </w:r>
      <w:r w:rsidR="00DF69EC" w:rsidRPr="002D6472">
        <w:rPr>
          <w:rFonts w:ascii="Arial" w:hAnsi="Arial" w:cs="Arial"/>
          <w:color w:val="808080" w:themeColor="background1" w:themeShade="80"/>
          <w:sz w:val="16"/>
          <w:szCs w:val="16"/>
          <w:shd w:val="clear" w:color="auto" w:fill="FFFFFF"/>
        </w:rPr>
        <w:t xml:space="preserve"> w Irlandii</w:t>
      </w:r>
      <w:r w:rsidRPr="002D6472">
        <w:rPr>
          <w:rFonts w:ascii="Arial" w:hAnsi="Arial" w:cs="Arial"/>
          <w:color w:val="808080" w:themeColor="background1" w:themeShade="80"/>
          <w:sz w:val="16"/>
          <w:szCs w:val="16"/>
          <w:shd w:val="clear" w:color="auto" w:fill="FFFFFF"/>
        </w:rPr>
        <w:t>, a spółki zależne zatrudniają ok. 130 osób pracujących w 6 krajach i prowadzących działalność w 5 odrębnych obszarach biznesowych: usługi finansowe, nieruchomości, żywność i rolnictwo, media oraz zintegrowane sieci. Greenman Investments jest wiodącym na rynku, sektorowym funduszem inwestycyjnym Grupy, zarządzającym funduszem inwestycyjnym nieruchomości spożywczych. Fundusze Greenman Investment inwestują wyłącznie w parki handlowe i magazyny handlowe oparte na ofercie spożywczej</w:t>
      </w:r>
      <w:bookmarkEnd w:id="0"/>
    </w:p>
    <w:p w14:paraId="5E5F12DF" w14:textId="77777777" w:rsidR="009C13DF" w:rsidRPr="003C14B3" w:rsidRDefault="009C13DF" w:rsidP="008D0A85">
      <w:pPr>
        <w:pStyle w:val="Bezodstpw"/>
        <w:rPr>
          <w:rStyle w:val="Pogrubienie"/>
          <w:rFonts w:ascii="Arial" w:hAnsi="Arial" w:cs="Arial"/>
          <w:color w:val="808080" w:themeColor="background1" w:themeShade="80"/>
          <w:sz w:val="16"/>
          <w:szCs w:val="16"/>
        </w:rPr>
      </w:pPr>
    </w:p>
    <w:p w14:paraId="14F6F9D6" w14:textId="77777777" w:rsidR="002723AC" w:rsidRPr="003C14B3" w:rsidRDefault="002723AC" w:rsidP="00931DF9">
      <w:pPr>
        <w:spacing w:line="240" w:lineRule="auto"/>
        <w:jc w:val="both"/>
        <w:rPr>
          <w:rFonts w:ascii="Arial" w:hAnsi="Arial" w:cs="Arial"/>
          <w:b/>
          <w:bCs/>
          <w:color w:val="808080" w:themeColor="background1" w:themeShade="80"/>
          <w:sz w:val="16"/>
          <w:szCs w:val="16"/>
        </w:rPr>
      </w:pPr>
    </w:p>
    <w:sectPr w:rsidR="002723AC" w:rsidRPr="003C14B3" w:rsidSect="00332EE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380C9" w14:textId="77777777" w:rsidR="00D02E27" w:rsidRDefault="00D02E27" w:rsidP="002723AC">
      <w:pPr>
        <w:spacing w:after="0" w:line="240" w:lineRule="auto"/>
      </w:pPr>
      <w:r>
        <w:separator/>
      </w:r>
    </w:p>
  </w:endnote>
  <w:endnote w:type="continuationSeparator" w:id="0">
    <w:p w14:paraId="60AA4FF2" w14:textId="77777777" w:rsidR="00D02E27" w:rsidRDefault="00D02E27"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5906F2" w14:textId="77777777" w:rsidR="00D02E27" w:rsidRDefault="00D02E27" w:rsidP="002723AC">
      <w:pPr>
        <w:spacing w:after="0" w:line="240" w:lineRule="auto"/>
      </w:pPr>
      <w:r>
        <w:separator/>
      </w:r>
    </w:p>
  </w:footnote>
  <w:footnote w:type="continuationSeparator" w:id="0">
    <w:p w14:paraId="20E26574" w14:textId="77777777" w:rsidR="00D02E27" w:rsidRDefault="00D02E27" w:rsidP="00272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94738" w14:textId="77777777" w:rsidR="002723AC" w:rsidRDefault="002723AC" w:rsidP="004564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F2CEE"/>
    <w:multiLevelType w:val="hybridMultilevel"/>
    <w:tmpl w:val="AA5E87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3DD1C7D"/>
    <w:multiLevelType w:val="hybridMultilevel"/>
    <w:tmpl w:val="6988DF36"/>
    <w:lvl w:ilvl="0" w:tplc="0415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253D31"/>
    <w:multiLevelType w:val="hybridMultilevel"/>
    <w:tmpl w:val="978C6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EDF0468"/>
    <w:multiLevelType w:val="hybridMultilevel"/>
    <w:tmpl w:val="673E4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FB6BB0"/>
    <w:multiLevelType w:val="hybridMultilevel"/>
    <w:tmpl w:val="975E573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F13D3A"/>
    <w:multiLevelType w:val="hybridMultilevel"/>
    <w:tmpl w:val="30AC7C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980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5416239">
    <w:abstractNumId w:val="2"/>
  </w:num>
  <w:num w:numId="3" w16cid:durableId="1906181101">
    <w:abstractNumId w:val="0"/>
  </w:num>
  <w:num w:numId="4" w16cid:durableId="1380595850">
    <w:abstractNumId w:val="3"/>
  </w:num>
  <w:num w:numId="5" w16cid:durableId="1081756214">
    <w:abstractNumId w:val="5"/>
  </w:num>
  <w:num w:numId="6" w16cid:durableId="775910011">
    <w:abstractNumId w:val="4"/>
  </w:num>
  <w:num w:numId="7" w16cid:durableId="509491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2C"/>
    <w:rsid w:val="00001C47"/>
    <w:rsid w:val="000023F7"/>
    <w:rsid w:val="00003913"/>
    <w:rsid w:val="000058B5"/>
    <w:rsid w:val="00005936"/>
    <w:rsid w:val="000116CD"/>
    <w:rsid w:val="000129A6"/>
    <w:rsid w:val="000228F2"/>
    <w:rsid w:val="00022B43"/>
    <w:rsid w:val="000251A0"/>
    <w:rsid w:val="000259F9"/>
    <w:rsid w:val="00025F88"/>
    <w:rsid w:val="00026A2C"/>
    <w:rsid w:val="00026EC4"/>
    <w:rsid w:val="0002756F"/>
    <w:rsid w:val="00031776"/>
    <w:rsid w:val="000328B9"/>
    <w:rsid w:val="0003332C"/>
    <w:rsid w:val="000369DF"/>
    <w:rsid w:val="00037C61"/>
    <w:rsid w:val="00040C53"/>
    <w:rsid w:val="00044345"/>
    <w:rsid w:val="00044902"/>
    <w:rsid w:val="0005213F"/>
    <w:rsid w:val="000548C3"/>
    <w:rsid w:val="00055212"/>
    <w:rsid w:val="00056128"/>
    <w:rsid w:val="00056582"/>
    <w:rsid w:val="00061296"/>
    <w:rsid w:val="00062B7A"/>
    <w:rsid w:val="00066D3C"/>
    <w:rsid w:val="00074719"/>
    <w:rsid w:val="0007538F"/>
    <w:rsid w:val="000771E2"/>
    <w:rsid w:val="00077D26"/>
    <w:rsid w:val="00080EF8"/>
    <w:rsid w:val="000839B3"/>
    <w:rsid w:val="000854AD"/>
    <w:rsid w:val="00087E69"/>
    <w:rsid w:val="00090383"/>
    <w:rsid w:val="00090BDE"/>
    <w:rsid w:val="0009252D"/>
    <w:rsid w:val="00092C6B"/>
    <w:rsid w:val="000932C8"/>
    <w:rsid w:val="00094967"/>
    <w:rsid w:val="0009573C"/>
    <w:rsid w:val="00096B09"/>
    <w:rsid w:val="00096EC2"/>
    <w:rsid w:val="00097653"/>
    <w:rsid w:val="000A1BE0"/>
    <w:rsid w:val="000A2597"/>
    <w:rsid w:val="000A2FCC"/>
    <w:rsid w:val="000A48A4"/>
    <w:rsid w:val="000A5297"/>
    <w:rsid w:val="000A5864"/>
    <w:rsid w:val="000A60BE"/>
    <w:rsid w:val="000A6635"/>
    <w:rsid w:val="000A719B"/>
    <w:rsid w:val="000A7626"/>
    <w:rsid w:val="000A7A51"/>
    <w:rsid w:val="000B0B9D"/>
    <w:rsid w:val="000B2580"/>
    <w:rsid w:val="000B3B8F"/>
    <w:rsid w:val="000B431C"/>
    <w:rsid w:val="000B51C3"/>
    <w:rsid w:val="000B5769"/>
    <w:rsid w:val="000C0D29"/>
    <w:rsid w:val="000C137A"/>
    <w:rsid w:val="000C18A4"/>
    <w:rsid w:val="000C4F3F"/>
    <w:rsid w:val="000C6E3B"/>
    <w:rsid w:val="000D48B9"/>
    <w:rsid w:val="000D526D"/>
    <w:rsid w:val="000D62B9"/>
    <w:rsid w:val="000E16D7"/>
    <w:rsid w:val="000E208A"/>
    <w:rsid w:val="000E3835"/>
    <w:rsid w:val="000F433B"/>
    <w:rsid w:val="000F4F6C"/>
    <w:rsid w:val="000F4FE6"/>
    <w:rsid w:val="000F510B"/>
    <w:rsid w:val="000F5D5A"/>
    <w:rsid w:val="000F722D"/>
    <w:rsid w:val="000F770B"/>
    <w:rsid w:val="00102543"/>
    <w:rsid w:val="00102643"/>
    <w:rsid w:val="0010375A"/>
    <w:rsid w:val="00106CD3"/>
    <w:rsid w:val="00106EBF"/>
    <w:rsid w:val="001073B2"/>
    <w:rsid w:val="0011014B"/>
    <w:rsid w:val="00110667"/>
    <w:rsid w:val="00111E5B"/>
    <w:rsid w:val="001123DF"/>
    <w:rsid w:val="0011495F"/>
    <w:rsid w:val="0011570A"/>
    <w:rsid w:val="0011723E"/>
    <w:rsid w:val="0011791E"/>
    <w:rsid w:val="001307F8"/>
    <w:rsid w:val="00131809"/>
    <w:rsid w:val="00131CC3"/>
    <w:rsid w:val="00132B42"/>
    <w:rsid w:val="001332C5"/>
    <w:rsid w:val="001349B1"/>
    <w:rsid w:val="001351A4"/>
    <w:rsid w:val="0013767D"/>
    <w:rsid w:val="00140EFF"/>
    <w:rsid w:val="00142563"/>
    <w:rsid w:val="00142941"/>
    <w:rsid w:val="0014302D"/>
    <w:rsid w:val="001432E1"/>
    <w:rsid w:val="0014477B"/>
    <w:rsid w:val="00145355"/>
    <w:rsid w:val="00145FE9"/>
    <w:rsid w:val="00150C6F"/>
    <w:rsid w:val="001510FD"/>
    <w:rsid w:val="00152C9A"/>
    <w:rsid w:val="001533B4"/>
    <w:rsid w:val="00154B61"/>
    <w:rsid w:val="001559FD"/>
    <w:rsid w:val="00155E51"/>
    <w:rsid w:val="001603EC"/>
    <w:rsid w:val="001609D0"/>
    <w:rsid w:val="00160F96"/>
    <w:rsid w:val="001651A4"/>
    <w:rsid w:val="001655B8"/>
    <w:rsid w:val="0016769B"/>
    <w:rsid w:val="00171C38"/>
    <w:rsid w:val="00172911"/>
    <w:rsid w:val="00172D9C"/>
    <w:rsid w:val="001732EA"/>
    <w:rsid w:val="00174328"/>
    <w:rsid w:val="00181676"/>
    <w:rsid w:val="00181931"/>
    <w:rsid w:val="001825AF"/>
    <w:rsid w:val="00183B72"/>
    <w:rsid w:val="00185843"/>
    <w:rsid w:val="0018610B"/>
    <w:rsid w:val="00186187"/>
    <w:rsid w:val="0019391B"/>
    <w:rsid w:val="001944CC"/>
    <w:rsid w:val="001962CC"/>
    <w:rsid w:val="001A1B05"/>
    <w:rsid w:val="001A1ECC"/>
    <w:rsid w:val="001A59D2"/>
    <w:rsid w:val="001A5E3E"/>
    <w:rsid w:val="001A6436"/>
    <w:rsid w:val="001A72D9"/>
    <w:rsid w:val="001A78E9"/>
    <w:rsid w:val="001B1F2A"/>
    <w:rsid w:val="001B5A9F"/>
    <w:rsid w:val="001B7B73"/>
    <w:rsid w:val="001C2585"/>
    <w:rsid w:val="001C3948"/>
    <w:rsid w:val="001C7A54"/>
    <w:rsid w:val="001D0029"/>
    <w:rsid w:val="001D0CE4"/>
    <w:rsid w:val="001D10B1"/>
    <w:rsid w:val="001D15B3"/>
    <w:rsid w:val="001D2AC2"/>
    <w:rsid w:val="001E015F"/>
    <w:rsid w:val="001E39B0"/>
    <w:rsid w:val="001E4728"/>
    <w:rsid w:val="001E4E9E"/>
    <w:rsid w:val="001E759A"/>
    <w:rsid w:val="001E75BE"/>
    <w:rsid w:val="001F27B3"/>
    <w:rsid w:val="001F3E16"/>
    <w:rsid w:val="001F4B56"/>
    <w:rsid w:val="001F5A2A"/>
    <w:rsid w:val="001F74E0"/>
    <w:rsid w:val="00200876"/>
    <w:rsid w:val="00201117"/>
    <w:rsid w:val="002017A3"/>
    <w:rsid w:val="00202EA3"/>
    <w:rsid w:val="00205688"/>
    <w:rsid w:val="0020664B"/>
    <w:rsid w:val="00206B86"/>
    <w:rsid w:val="00207D6A"/>
    <w:rsid w:val="0021029F"/>
    <w:rsid w:val="00211409"/>
    <w:rsid w:val="00211469"/>
    <w:rsid w:val="00212165"/>
    <w:rsid w:val="00212654"/>
    <w:rsid w:val="00212BC0"/>
    <w:rsid w:val="00213186"/>
    <w:rsid w:val="002145E1"/>
    <w:rsid w:val="00215DDF"/>
    <w:rsid w:val="002168C6"/>
    <w:rsid w:val="002168F7"/>
    <w:rsid w:val="00216B68"/>
    <w:rsid w:val="00220C25"/>
    <w:rsid w:val="0022236B"/>
    <w:rsid w:val="00222C6C"/>
    <w:rsid w:val="0022347E"/>
    <w:rsid w:val="00225C57"/>
    <w:rsid w:val="00227AC0"/>
    <w:rsid w:val="0023103B"/>
    <w:rsid w:val="002330B9"/>
    <w:rsid w:val="002335E1"/>
    <w:rsid w:val="00235013"/>
    <w:rsid w:val="00235045"/>
    <w:rsid w:val="0023631F"/>
    <w:rsid w:val="0023689C"/>
    <w:rsid w:val="00236A74"/>
    <w:rsid w:val="002377A8"/>
    <w:rsid w:val="002377CC"/>
    <w:rsid w:val="00237A55"/>
    <w:rsid w:val="0024257D"/>
    <w:rsid w:val="002447DE"/>
    <w:rsid w:val="00245D29"/>
    <w:rsid w:val="002471BA"/>
    <w:rsid w:val="00250134"/>
    <w:rsid w:val="00255253"/>
    <w:rsid w:val="00261DFB"/>
    <w:rsid w:val="00262A0F"/>
    <w:rsid w:val="00271C29"/>
    <w:rsid w:val="00272212"/>
    <w:rsid w:val="002723AC"/>
    <w:rsid w:val="002723F7"/>
    <w:rsid w:val="00273C93"/>
    <w:rsid w:val="002747A2"/>
    <w:rsid w:val="002824A2"/>
    <w:rsid w:val="00284270"/>
    <w:rsid w:val="002844D2"/>
    <w:rsid w:val="00287CDF"/>
    <w:rsid w:val="00287F1A"/>
    <w:rsid w:val="00291734"/>
    <w:rsid w:val="00291E89"/>
    <w:rsid w:val="002923CF"/>
    <w:rsid w:val="00292F28"/>
    <w:rsid w:val="002944C2"/>
    <w:rsid w:val="00295B83"/>
    <w:rsid w:val="00296A5D"/>
    <w:rsid w:val="002A4942"/>
    <w:rsid w:val="002A4EE0"/>
    <w:rsid w:val="002A4F07"/>
    <w:rsid w:val="002B0902"/>
    <w:rsid w:val="002B2F5A"/>
    <w:rsid w:val="002B3150"/>
    <w:rsid w:val="002B3428"/>
    <w:rsid w:val="002B46E0"/>
    <w:rsid w:val="002B553C"/>
    <w:rsid w:val="002B6EA9"/>
    <w:rsid w:val="002B79E8"/>
    <w:rsid w:val="002C0C31"/>
    <w:rsid w:val="002C1566"/>
    <w:rsid w:val="002C1B22"/>
    <w:rsid w:val="002C3691"/>
    <w:rsid w:val="002C6A4F"/>
    <w:rsid w:val="002D2701"/>
    <w:rsid w:val="002D2809"/>
    <w:rsid w:val="002D3940"/>
    <w:rsid w:val="002D6472"/>
    <w:rsid w:val="002E1147"/>
    <w:rsid w:val="002E12C2"/>
    <w:rsid w:val="002E1309"/>
    <w:rsid w:val="002E274C"/>
    <w:rsid w:val="002E2874"/>
    <w:rsid w:val="002E4BE8"/>
    <w:rsid w:val="002E4C9B"/>
    <w:rsid w:val="002E5001"/>
    <w:rsid w:val="002E6589"/>
    <w:rsid w:val="002E685D"/>
    <w:rsid w:val="002E6E25"/>
    <w:rsid w:val="002E7101"/>
    <w:rsid w:val="002E7289"/>
    <w:rsid w:val="002F09AE"/>
    <w:rsid w:val="002F0BC4"/>
    <w:rsid w:val="002F229E"/>
    <w:rsid w:val="002F34EA"/>
    <w:rsid w:val="002F3998"/>
    <w:rsid w:val="002F596C"/>
    <w:rsid w:val="002F5D2F"/>
    <w:rsid w:val="00300B14"/>
    <w:rsid w:val="00302448"/>
    <w:rsid w:val="003070FF"/>
    <w:rsid w:val="00314EBA"/>
    <w:rsid w:val="00315E29"/>
    <w:rsid w:val="00317D71"/>
    <w:rsid w:val="00320281"/>
    <w:rsid w:val="0032234C"/>
    <w:rsid w:val="003228C4"/>
    <w:rsid w:val="00324F7A"/>
    <w:rsid w:val="003265E8"/>
    <w:rsid w:val="00332EEA"/>
    <w:rsid w:val="003334F2"/>
    <w:rsid w:val="00333DA7"/>
    <w:rsid w:val="00335A7E"/>
    <w:rsid w:val="00335BC1"/>
    <w:rsid w:val="00335D64"/>
    <w:rsid w:val="00336EBB"/>
    <w:rsid w:val="00337DA0"/>
    <w:rsid w:val="00342A3B"/>
    <w:rsid w:val="00343BB1"/>
    <w:rsid w:val="00343E3F"/>
    <w:rsid w:val="00343EBC"/>
    <w:rsid w:val="00344784"/>
    <w:rsid w:val="00344F29"/>
    <w:rsid w:val="003476A8"/>
    <w:rsid w:val="00350BB7"/>
    <w:rsid w:val="00353336"/>
    <w:rsid w:val="00357D27"/>
    <w:rsid w:val="00360683"/>
    <w:rsid w:val="00361988"/>
    <w:rsid w:val="00364728"/>
    <w:rsid w:val="00366880"/>
    <w:rsid w:val="00367992"/>
    <w:rsid w:val="00367A34"/>
    <w:rsid w:val="00370661"/>
    <w:rsid w:val="00371B5B"/>
    <w:rsid w:val="00372847"/>
    <w:rsid w:val="003739DE"/>
    <w:rsid w:val="003814D5"/>
    <w:rsid w:val="003819CA"/>
    <w:rsid w:val="00383DA2"/>
    <w:rsid w:val="003856DD"/>
    <w:rsid w:val="00385BF4"/>
    <w:rsid w:val="003915EA"/>
    <w:rsid w:val="00391FC9"/>
    <w:rsid w:val="0039269D"/>
    <w:rsid w:val="00392BFD"/>
    <w:rsid w:val="003973E6"/>
    <w:rsid w:val="003A1FDB"/>
    <w:rsid w:val="003A7318"/>
    <w:rsid w:val="003B3065"/>
    <w:rsid w:val="003B4F8D"/>
    <w:rsid w:val="003B4FC3"/>
    <w:rsid w:val="003B650C"/>
    <w:rsid w:val="003B711D"/>
    <w:rsid w:val="003B7357"/>
    <w:rsid w:val="003C09DE"/>
    <w:rsid w:val="003C14B3"/>
    <w:rsid w:val="003C1F5D"/>
    <w:rsid w:val="003C2303"/>
    <w:rsid w:val="003C6339"/>
    <w:rsid w:val="003D0378"/>
    <w:rsid w:val="003D1B6C"/>
    <w:rsid w:val="003D1D27"/>
    <w:rsid w:val="003D3FF0"/>
    <w:rsid w:val="003D4550"/>
    <w:rsid w:val="003D476A"/>
    <w:rsid w:val="003D4C23"/>
    <w:rsid w:val="003D5F0B"/>
    <w:rsid w:val="003E2392"/>
    <w:rsid w:val="003E4A84"/>
    <w:rsid w:val="003E7545"/>
    <w:rsid w:val="003F5329"/>
    <w:rsid w:val="004006E0"/>
    <w:rsid w:val="00401D11"/>
    <w:rsid w:val="00405666"/>
    <w:rsid w:val="00406448"/>
    <w:rsid w:val="004064C4"/>
    <w:rsid w:val="00407450"/>
    <w:rsid w:val="00411A3C"/>
    <w:rsid w:val="00412057"/>
    <w:rsid w:val="0041268C"/>
    <w:rsid w:val="00416D80"/>
    <w:rsid w:val="00417500"/>
    <w:rsid w:val="00417646"/>
    <w:rsid w:val="0042084C"/>
    <w:rsid w:val="00421386"/>
    <w:rsid w:val="00421D8A"/>
    <w:rsid w:val="00422247"/>
    <w:rsid w:val="00425AFB"/>
    <w:rsid w:val="00425E03"/>
    <w:rsid w:val="004262D4"/>
    <w:rsid w:val="00426B33"/>
    <w:rsid w:val="004306AB"/>
    <w:rsid w:val="004308E8"/>
    <w:rsid w:val="004319C1"/>
    <w:rsid w:val="0043219C"/>
    <w:rsid w:val="00434953"/>
    <w:rsid w:val="00435C7A"/>
    <w:rsid w:val="004420BE"/>
    <w:rsid w:val="004426C1"/>
    <w:rsid w:val="00443AAE"/>
    <w:rsid w:val="00446054"/>
    <w:rsid w:val="00446063"/>
    <w:rsid w:val="00446084"/>
    <w:rsid w:val="004468C7"/>
    <w:rsid w:val="00446C9E"/>
    <w:rsid w:val="004474C3"/>
    <w:rsid w:val="00450C5E"/>
    <w:rsid w:val="00452A6C"/>
    <w:rsid w:val="00456051"/>
    <w:rsid w:val="004564A2"/>
    <w:rsid w:val="00460B55"/>
    <w:rsid w:val="00462BC1"/>
    <w:rsid w:val="00463086"/>
    <w:rsid w:val="00464718"/>
    <w:rsid w:val="00464F97"/>
    <w:rsid w:val="0046527F"/>
    <w:rsid w:val="004725E3"/>
    <w:rsid w:val="00476961"/>
    <w:rsid w:val="00476EFA"/>
    <w:rsid w:val="00476F17"/>
    <w:rsid w:val="00477F92"/>
    <w:rsid w:val="00482FF9"/>
    <w:rsid w:val="00483396"/>
    <w:rsid w:val="00483FC0"/>
    <w:rsid w:val="00484510"/>
    <w:rsid w:val="00485994"/>
    <w:rsid w:val="00486677"/>
    <w:rsid w:val="00486BAB"/>
    <w:rsid w:val="004870BE"/>
    <w:rsid w:val="0049003E"/>
    <w:rsid w:val="0049081B"/>
    <w:rsid w:val="00491356"/>
    <w:rsid w:val="004947F8"/>
    <w:rsid w:val="00495C91"/>
    <w:rsid w:val="004A0A11"/>
    <w:rsid w:val="004A0F13"/>
    <w:rsid w:val="004A147A"/>
    <w:rsid w:val="004A4618"/>
    <w:rsid w:val="004B154D"/>
    <w:rsid w:val="004B2E07"/>
    <w:rsid w:val="004B46C7"/>
    <w:rsid w:val="004B4C8C"/>
    <w:rsid w:val="004B6626"/>
    <w:rsid w:val="004B6E7A"/>
    <w:rsid w:val="004B6EC1"/>
    <w:rsid w:val="004B75D0"/>
    <w:rsid w:val="004C0191"/>
    <w:rsid w:val="004C1202"/>
    <w:rsid w:val="004C3193"/>
    <w:rsid w:val="004C3E66"/>
    <w:rsid w:val="004C7BD8"/>
    <w:rsid w:val="004D098F"/>
    <w:rsid w:val="004D2B99"/>
    <w:rsid w:val="004D3B34"/>
    <w:rsid w:val="004D3DA0"/>
    <w:rsid w:val="004D4AA5"/>
    <w:rsid w:val="004D5075"/>
    <w:rsid w:val="004D6649"/>
    <w:rsid w:val="004D6A4E"/>
    <w:rsid w:val="004D6D08"/>
    <w:rsid w:val="004D6F3B"/>
    <w:rsid w:val="004D7AEE"/>
    <w:rsid w:val="004D7B4C"/>
    <w:rsid w:val="004E0C35"/>
    <w:rsid w:val="004E312B"/>
    <w:rsid w:val="004E3CF4"/>
    <w:rsid w:val="004F1F7C"/>
    <w:rsid w:val="004F2DDF"/>
    <w:rsid w:val="004F66D9"/>
    <w:rsid w:val="004F7298"/>
    <w:rsid w:val="00500369"/>
    <w:rsid w:val="0050131D"/>
    <w:rsid w:val="005038A8"/>
    <w:rsid w:val="0050392C"/>
    <w:rsid w:val="00505A8B"/>
    <w:rsid w:val="00507EF9"/>
    <w:rsid w:val="00510332"/>
    <w:rsid w:val="00510D87"/>
    <w:rsid w:val="00511D1E"/>
    <w:rsid w:val="00512C5E"/>
    <w:rsid w:val="00513491"/>
    <w:rsid w:val="00515FB5"/>
    <w:rsid w:val="005171C1"/>
    <w:rsid w:val="0052016B"/>
    <w:rsid w:val="00520665"/>
    <w:rsid w:val="00521787"/>
    <w:rsid w:val="00522326"/>
    <w:rsid w:val="00523A39"/>
    <w:rsid w:val="00524FA7"/>
    <w:rsid w:val="00532370"/>
    <w:rsid w:val="00532C4D"/>
    <w:rsid w:val="005346F9"/>
    <w:rsid w:val="00535069"/>
    <w:rsid w:val="005418BB"/>
    <w:rsid w:val="0054484A"/>
    <w:rsid w:val="00553866"/>
    <w:rsid w:val="0055386D"/>
    <w:rsid w:val="0055724C"/>
    <w:rsid w:val="0056186D"/>
    <w:rsid w:val="00561E29"/>
    <w:rsid w:val="00562C93"/>
    <w:rsid w:val="00563B62"/>
    <w:rsid w:val="00565D93"/>
    <w:rsid w:val="005664F0"/>
    <w:rsid w:val="005666CC"/>
    <w:rsid w:val="00566D72"/>
    <w:rsid w:val="00570D3B"/>
    <w:rsid w:val="00570F9A"/>
    <w:rsid w:val="00574BBE"/>
    <w:rsid w:val="00575E1E"/>
    <w:rsid w:val="00577638"/>
    <w:rsid w:val="00580632"/>
    <w:rsid w:val="005809D3"/>
    <w:rsid w:val="005826D3"/>
    <w:rsid w:val="005827C7"/>
    <w:rsid w:val="005837C7"/>
    <w:rsid w:val="005862A5"/>
    <w:rsid w:val="00587505"/>
    <w:rsid w:val="005878B0"/>
    <w:rsid w:val="00590FD2"/>
    <w:rsid w:val="005925F4"/>
    <w:rsid w:val="00592DD6"/>
    <w:rsid w:val="00596011"/>
    <w:rsid w:val="00597100"/>
    <w:rsid w:val="005A07B0"/>
    <w:rsid w:val="005A2773"/>
    <w:rsid w:val="005A418C"/>
    <w:rsid w:val="005A5C85"/>
    <w:rsid w:val="005A6A9B"/>
    <w:rsid w:val="005B0220"/>
    <w:rsid w:val="005B0388"/>
    <w:rsid w:val="005B040C"/>
    <w:rsid w:val="005B1362"/>
    <w:rsid w:val="005B32F2"/>
    <w:rsid w:val="005B4612"/>
    <w:rsid w:val="005C066C"/>
    <w:rsid w:val="005C0880"/>
    <w:rsid w:val="005C4EDB"/>
    <w:rsid w:val="005C5CF7"/>
    <w:rsid w:val="005D0445"/>
    <w:rsid w:val="005D3431"/>
    <w:rsid w:val="005D4BBD"/>
    <w:rsid w:val="005D6A2C"/>
    <w:rsid w:val="005D6F0A"/>
    <w:rsid w:val="005E0577"/>
    <w:rsid w:val="005E2190"/>
    <w:rsid w:val="005E4BE2"/>
    <w:rsid w:val="005E4E4D"/>
    <w:rsid w:val="005E6C02"/>
    <w:rsid w:val="005F009B"/>
    <w:rsid w:val="005F0FCF"/>
    <w:rsid w:val="005F4452"/>
    <w:rsid w:val="005F61D0"/>
    <w:rsid w:val="005F7E89"/>
    <w:rsid w:val="00600862"/>
    <w:rsid w:val="00604A17"/>
    <w:rsid w:val="00606689"/>
    <w:rsid w:val="006108AF"/>
    <w:rsid w:val="006119A7"/>
    <w:rsid w:val="00613C40"/>
    <w:rsid w:val="006147A2"/>
    <w:rsid w:val="0061515F"/>
    <w:rsid w:val="006152B6"/>
    <w:rsid w:val="0061683E"/>
    <w:rsid w:val="0062219B"/>
    <w:rsid w:val="0062288B"/>
    <w:rsid w:val="00622A67"/>
    <w:rsid w:val="00622BE9"/>
    <w:rsid w:val="00622C6F"/>
    <w:rsid w:val="00622CB4"/>
    <w:rsid w:val="00623582"/>
    <w:rsid w:val="0062363E"/>
    <w:rsid w:val="006250FC"/>
    <w:rsid w:val="00632E3C"/>
    <w:rsid w:val="006367F5"/>
    <w:rsid w:val="00636EF0"/>
    <w:rsid w:val="00637BC2"/>
    <w:rsid w:val="0064000C"/>
    <w:rsid w:val="00641ACD"/>
    <w:rsid w:val="00642D78"/>
    <w:rsid w:val="006432D9"/>
    <w:rsid w:val="006440D3"/>
    <w:rsid w:val="006465BC"/>
    <w:rsid w:val="0064666A"/>
    <w:rsid w:val="00646CB0"/>
    <w:rsid w:val="00655B95"/>
    <w:rsid w:val="00660288"/>
    <w:rsid w:val="00660B43"/>
    <w:rsid w:val="0066278F"/>
    <w:rsid w:val="006630BE"/>
    <w:rsid w:val="0066449F"/>
    <w:rsid w:val="006651B8"/>
    <w:rsid w:val="00670034"/>
    <w:rsid w:val="00674983"/>
    <w:rsid w:val="00675BCB"/>
    <w:rsid w:val="006802D5"/>
    <w:rsid w:val="00683378"/>
    <w:rsid w:val="00683881"/>
    <w:rsid w:val="00683E71"/>
    <w:rsid w:val="006861F7"/>
    <w:rsid w:val="00686476"/>
    <w:rsid w:val="00686C2F"/>
    <w:rsid w:val="00686F7F"/>
    <w:rsid w:val="006870ED"/>
    <w:rsid w:val="00687D25"/>
    <w:rsid w:val="00693BBF"/>
    <w:rsid w:val="006A1732"/>
    <w:rsid w:val="006A3357"/>
    <w:rsid w:val="006A51CB"/>
    <w:rsid w:val="006A53C1"/>
    <w:rsid w:val="006A67F9"/>
    <w:rsid w:val="006A6BCD"/>
    <w:rsid w:val="006A7339"/>
    <w:rsid w:val="006B1A99"/>
    <w:rsid w:val="006B20DA"/>
    <w:rsid w:val="006B2AA3"/>
    <w:rsid w:val="006B3DB2"/>
    <w:rsid w:val="006B4083"/>
    <w:rsid w:val="006B5288"/>
    <w:rsid w:val="006B6B71"/>
    <w:rsid w:val="006B6BC5"/>
    <w:rsid w:val="006B7C08"/>
    <w:rsid w:val="006B7D3E"/>
    <w:rsid w:val="006C0E8A"/>
    <w:rsid w:val="006C50EC"/>
    <w:rsid w:val="006C798E"/>
    <w:rsid w:val="006D0637"/>
    <w:rsid w:val="006D0F9D"/>
    <w:rsid w:val="006D1877"/>
    <w:rsid w:val="006D2E89"/>
    <w:rsid w:val="006D44B5"/>
    <w:rsid w:val="006E0458"/>
    <w:rsid w:val="006E135C"/>
    <w:rsid w:val="006E1F57"/>
    <w:rsid w:val="006E3C92"/>
    <w:rsid w:val="006E7A40"/>
    <w:rsid w:val="006F010A"/>
    <w:rsid w:val="006F0BF3"/>
    <w:rsid w:val="006F1103"/>
    <w:rsid w:val="006F6C6B"/>
    <w:rsid w:val="006F72E4"/>
    <w:rsid w:val="0070092E"/>
    <w:rsid w:val="00702595"/>
    <w:rsid w:val="00702F3A"/>
    <w:rsid w:val="007041A4"/>
    <w:rsid w:val="0070562F"/>
    <w:rsid w:val="00705AE8"/>
    <w:rsid w:val="00705AED"/>
    <w:rsid w:val="00710D2B"/>
    <w:rsid w:val="0071229B"/>
    <w:rsid w:val="00715208"/>
    <w:rsid w:val="00715CD6"/>
    <w:rsid w:val="00715E56"/>
    <w:rsid w:val="0071709B"/>
    <w:rsid w:val="00722480"/>
    <w:rsid w:val="007237A2"/>
    <w:rsid w:val="00727CA2"/>
    <w:rsid w:val="00732427"/>
    <w:rsid w:val="00735BA4"/>
    <w:rsid w:val="00735FB8"/>
    <w:rsid w:val="007376A0"/>
    <w:rsid w:val="007377D6"/>
    <w:rsid w:val="0073794C"/>
    <w:rsid w:val="0074159D"/>
    <w:rsid w:val="007427ED"/>
    <w:rsid w:val="00747F3E"/>
    <w:rsid w:val="00755283"/>
    <w:rsid w:val="00756EBD"/>
    <w:rsid w:val="00757824"/>
    <w:rsid w:val="0076056D"/>
    <w:rsid w:val="00760A3E"/>
    <w:rsid w:val="007641E1"/>
    <w:rsid w:val="00764DD7"/>
    <w:rsid w:val="00765408"/>
    <w:rsid w:val="00765FA8"/>
    <w:rsid w:val="007665A1"/>
    <w:rsid w:val="0076670C"/>
    <w:rsid w:val="00767655"/>
    <w:rsid w:val="0077174C"/>
    <w:rsid w:val="00771DED"/>
    <w:rsid w:val="007729CF"/>
    <w:rsid w:val="00772A32"/>
    <w:rsid w:val="00773BD1"/>
    <w:rsid w:val="00776997"/>
    <w:rsid w:val="007771F1"/>
    <w:rsid w:val="0077789E"/>
    <w:rsid w:val="0078009F"/>
    <w:rsid w:val="007800FF"/>
    <w:rsid w:val="00780B44"/>
    <w:rsid w:val="00785A30"/>
    <w:rsid w:val="007863C9"/>
    <w:rsid w:val="0078689B"/>
    <w:rsid w:val="00787F94"/>
    <w:rsid w:val="00791AC5"/>
    <w:rsid w:val="007930F7"/>
    <w:rsid w:val="007931B7"/>
    <w:rsid w:val="0079451E"/>
    <w:rsid w:val="007951F5"/>
    <w:rsid w:val="00797E96"/>
    <w:rsid w:val="007A1253"/>
    <w:rsid w:val="007A2790"/>
    <w:rsid w:val="007A43A0"/>
    <w:rsid w:val="007A5B56"/>
    <w:rsid w:val="007A6401"/>
    <w:rsid w:val="007A7553"/>
    <w:rsid w:val="007B0EFB"/>
    <w:rsid w:val="007B11F3"/>
    <w:rsid w:val="007B2D22"/>
    <w:rsid w:val="007B319E"/>
    <w:rsid w:val="007B5E8F"/>
    <w:rsid w:val="007B73F7"/>
    <w:rsid w:val="007B7FE4"/>
    <w:rsid w:val="007C40CD"/>
    <w:rsid w:val="007C5ED4"/>
    <w:rsid w:val="007C6C0A"/>
    <w:rsid w:val="007D1106"/>
    <w:rsid w:val="007D14C8"/>
    <w:rsid w:val="007D462C"/>
    <w:rsid w:val="007D471D"/>
    <w:rsid w:val="007D4B17"/>
    <w:rsid w:val="007D4CF2"/>
    <w:rsid w:val="007D6889"/>
    <w:rsid w:val="007D7EBE"/>
    <w:rsid w:val="007E026C"/>
    <w:rsid w:val="007E412C"/>
    <w:rsid w:val="007E4EED"/>
    <w:rsid w:val="007E554B"/>
    <w:rsid w:val="007E682C"/>
    <w:rsid w:val="007E7EFE"/>
    <w:rsid w:val="007F10F6"/>
    <w:rsid w:val="007F33E6"/>
    <w:rsid w:val="007F4308"/>
    <w:rsid w:val="007F67EA"/>
    <w:rsid w:val="007F691E"/>
    <w:rsid w:val="007F766B"/>
    <w:rsid w:val="007F76A0"/>
    <w:rsid w:val="008015C0"/>
    <w:rsid w:val="00802B3F"/>
    <w:rsid w:val="00805209"/>
    <w:rsid w:val="008111CB"/>
    <w:rsid w:val="0081135D"/>
    <w:rsid w:val="00813EB2"/>
    <w:rsid w:val="008142C3"/>
    <w:rsid w:val="00816C7C"/>
    <w:rsid w:val="00820446"/>
    <w:rsid w:val="008218D0"/>
    <w:rsid w:val="0082213E"/>
    <w:rsid w:val="00823D32"/>
    <w:rsid w:val="008256B4"/>
    <w:rsid w:val="008313F1"/>
    <w:rsid w:val="00835C08"/>
    <w:rsid w:val="008363C9"/>
    <w:rsid w:val="0084107E"/>
    <w:rsid w:val="00844E3C"/>
    <w:rsid w:val="0084676F"/>
    <w:rsid w:val="00846BF0"/>
    <w:rsid w:val="008501D2"/>
    <w:rsid w:val="00852E3F"/>
    <w:rsid w:val="00854BEC"/>
    <w:rsid w:val="008561B4"/>
    <w:rsid w:val="00856355"/>
    <w:rsid w:val="0085722D"/>
    <w:rsid w:val="00862E78"/>
    <w:rsid w:val="0086436C"/>
    <w:rsid w:val="0086445E"/>
    <w:rsid w:val="00865044"/>
    <w:rsid w:val="00865AB8"/>
    <w:rsid w:val="00865D87"/>
    <w:rsid w:val="00866151"/>
    <w:rsid w:val="008665A7"/>
    <w:rsid w:val="00866755"/>
    <w:rsid w:val="00870883"/>
    <w:rsid w:val="008713B7"/>
    <w:rsid w:val="00872DC4"/>
    <w:rsid w:val="0087338D"/>
    <w:rsid w:val="00881843"/>
    <w:rsid w:val="008824C2"/>
    <w:rsid w:val="00886617"/>
    <w:rsid w:val="00886B0B"/>
    <w:rsid w:val="00887ACE"/>
    <w:rsid w:val="00890F9E"/>
    <w:rsid w:val="00892306"/>
    <w:rsid w:val="00892BA3"/>
    <w:rsid w:val="00895A74"/>
    <w:rsid w:val="00897E35"/>
    <w:rsid w:val="008A0158"/>
    <w:rsid w:val="008A33D2"/>
    <w:rsid w:val="008A34D7"/>
    <w:rsid w:val="008A55AB"/>
    <w:rsid w:val="008A7201"/>
    <w:rsid w:val="008B11AF"/>
    <w:rsid w:val="008B30C7"/>
    <w:rsid w:val="008B45D2"/>
    <w:rsid w:val="008C15B2"/>
    <w:rsid w:val="008C2239"/>
    <w:rsid w:val="008C3E79"/>
    <w:rsid w:val="008C4665"/>
    <w:rsid w:val="008C65AA"/>
    <w:rsid w:val="008C6ED0"/>
    <w:rsid w:val="008D0A85"/>
    <w:rsid w:val="008D37CE"/>
    <w:rsid w:val="008D5198"/>
    <w:rsid w:val="008D5F27"/>
    <w:rsid w:val="008D6016"/>
    <w:rsid w:val="008E2F86"/>
    <w:rsid w:val="008E3F85"/>
    <w:rsid w:val="008E49A1"/>
    <w:rsid w:val="008E4B38"/>
    <w:rsid w:val="008E5D5A"/>
    <w:rsid w:val="008F093C"/>
    <w:rsid w:val="008F0E04"/>
    <w:rsid w:val="008F7B3E"/>
    <w:rsid w:val="009032C6"/>
    <w:rsid w:val="00907C38"/>
    <w:rsid w:val="00907F43"/>
    <w:rsid w:val="00910925"/>
    <w:rsid w:val="0091145D"/>
    <w:rsid w:val="0091152E"/>
    <w:rsid w:val="0091178F"/>
    <w:rsid w:val="00911BA9"/>
    <w:rsid w:val="00911D4A"/>
    <w:rsid w:val="00915B9C"/>
    <w:rsid w:val="009167C1"/>
    <w:rsid w:val="009171A7"/>
    <w:rsid w:val="00923023"/>
    <w:rsid w:val="009248B9"/>
    <w:rsid w:val="00925476"/>
    <w:rsid w:val="00926FC0"/>
    <w:rsid w:val="00927B0E"/>
    <w:rsid w:val="00931348"/>
    <w:rsid w:val="00931DF9"/>
    <w:rsid w:val="00932F5E"/>
    <w:rsid w:val="0093346F"/>
    <w:rsid w:val="009350B1"/>
    <w:rsid w:val="00935460"/>
    <w:rsid w:val="00935E53"/>
    <w:rsid w:val="00937FE1"/>
    <w:rsid w:val="00944033"/>
    <w:rsid w:val="00944F16"/>
    <w:rsid w:val="009450B4"/>
    <w:rsid w:val="00950E4D"/>
    <w:rsid w:val="00954828"/>
    <w:rsid w:val="00955042"/>
    <w:rsid w:val="009562F8"/>
    <w:rsid w:val="00956DFF"/>
    <w:rsid w:val="00956F86"/>
    <w:rsid w:val="00960679"/>
    <w:rsid w:val="00964376"/>
    <w:rsid w:val="00965E40"/>
    <w:rsid w:val="00967A39"/>
    <w:rsid w:val="00967EA3"/>
    <w:rsid w:val="0097179A"/>
    <w:rsid w:val="009721C9"/>
    <w:rsid w:val="009733C8"/>
    <w:rsid w:val="00973C99"/>
    <w:rsid w:val="00974185"/>
    <w:rsid w:val="009759B4"/>
    <w:rsid w:val="009773EF"/>
    <w:rsid w:val="00977836"/>
    <w:rsid w:val="009806AD"/>
    <w:rsid w:val="00982AE8"/>
    <w:rsid w:val="009876EC"/>
    <w:rsid w:val="00987EDD"/>
    <w:rsid w:val="009A0BCC"/>
    <w:rsid w:val="009A1693"/>
    <w:rsid w:val="009A31C8"/>
    <w:rsid w:val="009A3CBB"/>
    <w:rsid w:val="009A7782"/>
    <w:rsid w:val="009B19C7"/>
    <w:rsid w:val="009B1F71"/>
    <w:rsid w:val="009B4AC7"/>
    <w:rsid w:val="009B4AE2"/>
    <w:rsid w:val="009B4F6A"/>
    <w:rsid w:val="009B5FD4"/>
    <w:rsid w:val="009B6D4B"/>
    <w:rsid w:val="009C127F"/>
    <w:rsid w:val="009C13DF"/>
    <w:rsid w:val="009C22C6"/>
    <w:rsid w:val="009C2A0F"/>
    <w:rsid w:val="009C6733"/>
    <w:rsid w:val="009D68ED"/>
    <w:rsid w:val="009D7149"/>
    <w:rsid w:val="009D72E7"/>
    <w:rsid w:val="009D7BF4"/>
    <w:rsid w:val="009E1D49"/>
    <w:rsid w:val="009E217C"/>
    <w:rsid w:val="009E3525"/>
    <w:rsid w:val="009E43CD"/>
    <w:rsid w:val="009E7110"/>
    <w:rsid w:val="009E7401"/>
    <w:rsid w:val="009F09FA"/>
    <w:rsid w:val="009F16FB"/>
    <w:rsid w:val="009F75C1"/>
    <w:rsid w:val="00A02908"/>
    <w:rsid w:val="00A03244"/>
    <w:rsid w:val="00A05220"/>
    <w:rsid w:val="00A05C43"/>
    <w:rsid w:val="00A0608F"/>
    <w:rsid w:val="00A1059A"/>
    <w:rsid w:val="00A10606"/>
    <w:rsid w:val="00A10D67"/>
    <w:rsid w:val="00A11D0A"/>
    <w:rsid w:val="00A129D7"/>
    <w:rsid w:val="00A13EF7"/>
    <w:rsid w:val="00A15485"/>
    <w:rsid w:val="00A155D5"/>
    <w:rsid w:val="00A169C8"/>
    <w:rsid w:val="00A16CAA"/>
    <w:rsid w:val="00A17A67"/>
    <w:rsid w:val="00A21DED"/>
    <w:rsid w:val="00A24606"/>
    <w:rsid w:val="00A2494E"/>
    <w:rsid w:val="00A2563A"/>
    <w:rsid w:val="00A25CD0"/>
    <w:rsid w:val="00A26428"/>
    <w:rsid w:val="00A316EF"/>
    <w:rsid w:val="00A33C1E"/>
    <w:rsid w:val="00A34F6B"/>
    <w:rsid w:val="00A370F1"/>
    <w:rsid w:val="00A37BD5"/>
    <w:rsid w:val="00A42158"/>
    <w:rsid w:val="00A425FD"/>
    <w:rsid w:val="00A43C5C"/>
    <w:rsid w:val="00A446AF"/>
    <w:rsid w:val="00A45668"/>
    <w:rsid w:val="00A47F74"/>
    <w:rsid w:val="00A5053C"/>
    <w:rsid w:val="00A5206A"/>
    <w:rsid w:val="00A5208D"/>
    <w:rsid w:val="00A53B5B"/>
    <w:rsid w:val="00A54387"/>
    <w:rsid w:val="00A572B4"/>
    <w:rsid w:val="00A60D13"/>
    <w:rsid w:val="00A63043"/>
    <w:rsid w:val="00A642DC"/>
    <w:rsid w:val="00A65412"/>
    <w:rsid w:val="00A66051"/>
    <w:rsid w:val="00A673EA"/>
    <w:rsid w:val="00A7290B"/>
    <w:rsid w:val="00A738BD"/>
    <w:rsid w:val="00A7565F"/>
    <w:rsid w:val="00A81AAA"/>
    <w:rsid w:val="00A832E0"/>
    <w:rsid w:val="00A8596C"/>
    <w:rsid w:val="00A86063"/>
    <w:rsid w:val="00A862F2"/>
    <w:rsid w:val="00A879BE"/>
    <w:rsid w:val="00A92224"/>
    <w:rsid w:val="00A93077"/>
    <w:rsid w:val="00A936C9"/>
    <w:rsid w:val="00A958F1"/>
    <w:rsid w:val="00AA1F3F"/>
    <w:rsid w:val="00AA1FD5"/>
    <w:rsid w:val="00AA39DD"/>
    <w:rsid w:val="00AA5378"/>
    <w:rsid w:val="00AA64BD"/>
    <w:rsid w:val="00AA72D2"/>
    <w:rsid w:val="00AB07A4"/>
    <w:rsid w:val="00AB4B30"/>
    <w:rsid w:val="00AC2B9D"/>
    <w:rsid w:val="00AC5844"/>
    <w:rsid w:val="00AD176F"/>
    <w:rsid w:val="00AD2668"/>
    <w:rsid w:val="00AD3D76"/>
    <w:rsid w:val="00AD424A"/>
    <w:rsid w:val="00AD6315"/>
    <w:rsid w:val="00AD7E3D"/>
    <w:rsid w:val="00AE14F7"/>
    <w:rsid w:val="00AE1745"/>
    <w:rsid w:val="00AE5D64"/>
    <w:rsid w:val="00AF0BDB"/>
    <w:rsid w:val="00AF14F8"/>
    <w:rsid w:val="00AF71B5"/>
    <w:rsid w:val="00B02BCB"/>
    <w:rsid w:val="00B1211F"/>
    <w:rsid w:val="00B12A21"/>
    <w:rsid w:val="00B1641C"/>
    <w:rsid w:val="00B166EB"/>
    <w:rsid w:val="00B21887"/>
    <w:rsid w:val="00B22E80"/>
    <w:rsid w:val="00B24B95"/>
    <w:rsid w:val="00B25628"/>
    <w:rsid w:val="00B26098"/>
    <w:rsid w:val="00B26707"/>
    <w:rsid w:val="00B26BBB"/>
    <w:rsid w:val="00B2770E"/>
    <w:rsid w:val="00B31475"/>
    <w:rsid w:val="00B337F4"/>
    <w:rsid w:val="00B35AC8"/>
    <w:rsid w:val="00B36465"/>
    <w:rsid w:val="00B41F7E"/>
    <w:rsid w:val="00B45C8E"/>
    <w:rsid w:val="00B46ACA"/>
    <w:rsid w:val="00B479A3"/>
    <w:rsid w:val="00B51045"/>
    <w:rsid w:val="00B617BF"/>
    <w:rsid w:val="00B62983"/>
    <w:rsid w:val="00B709AA"/>
    <w:rsid w:val="00B73F2A"/>
    <w:rsid w:val="00B7707E"/>
    <w:rsid w:val="00B86427"/>
    <w:rsid w:val="00B872FF"/>
    <w:rsid w:val="00B8744C"/>
    <w:rsid w:val="00B92FB7"/>
    <w:rsid w:val="00BA304E"/>
    <w:rsid w:val="00BA7029"/>
    <w:rsid w:val="00BA743A"/>
    <w:rsid w:val="00BB3B24"/>
    <w:rsid w:val="00BB4041"/>
    <w:rsid w:val="00BB502B"/>
    <w:rsid w:val="00BB541B"/>
    <w:rsid w:val="00BB605A"/>
    <w:rsid w:val="00BB69C9"/>
    <w:rsid w:val="00BB6C0C"/>
    <w:rsid w:val="00BC166F"/>
    <w:rsid w:val="00BC1B9F"/>
    <w:rsid w:val="00BC2834"/>
    <w:rsid w:val="00BC2DA7"/>
    <w:rsid w:val="00BC66AF"/>
    <w:rsid w:val="00BC6EFE"/>
    <w:rsid w:val="00BC7278"/>
    <w:rsid w:val="00BD1D22"/>
    <w:rsid w:val="00BD32CE"/>
    <w:rsid w:val="00BE0FD4"/>
    <w:rsid w:val="00BE22C7"/>
    <w:rsid w:val="00BE2E2C"/>
    <w:rsid w:val="00BF1D9D"/>
    <w:rsid w:val="00BF2734"/>
    <w:rsid w:val="00BF2C9B"/>
    <w:rsid w:val="00BF3CB7"/>
    <w:rsid w:val="00BF4532"/>
    <w:rsid w:val="00BF52E9"/>
    <w:rsid w:val="00BF55A9"/>
    <w:rsid w:val="00BF7846"/>
    <w:rsid w:val="00C01DF8"/>
    <w:rsid w:val="00C02823"/>
    <w:rsid w:val="00C051CC"/>
    <w:rsid w:val="00C058C1"/>
    <w:rsid w:val="00C06050"/>
    <w:rsid w:val="00C10400"/>
    <w:rsid w:val="00C11C18"/>
    <w:rsid w:val="00C147EB"/>
    <w:rsid w:val="00C14CF7"/>
    <w:rsid w:val="00C156E6"/>
    <w:rsid w:val="00C15767"/>
    <w:rsid w:val="00C15C5F"/>
    <w:rsid w:val="00C15D11"/>
    <w:rsid w:val="00C15E87"/>
    <w:rsid w:val="00C168E7"/>
    <w:rsid w:val="00C17479"/>
    <w:rsid w:val="00C17674"/>
    <w:rsid w:val="00C177B3"/>
    <w:rsid w:val="00C203DC"/>
    <w:rsid w:val="00C2072B"/>
    <w:rsid w:val="00C20E44"/>
    <w:rsid w:val="00C22948"/>
    <w:rsid w:val="00C23812"/>
    <w:rsid w:val="00C243E5"/>
    <w:rsid w:val="00C25CB1"/>
    <w:rsid w:val="00C26B48"/>
    <w:rsid w:val="00C31B53"/>
    <w:rsid w:val="00C31DBC"/>
    <w:rsid w:val="00C32880"/>
    <w:rsid w:val="00C35FB3"/>
    <w:rsid w:val="00C36249"/>
    <w:rsid w:val="00C37D84"/>
    <w:rsid w:val="00C42C4C"/>
    <w:rsid w:val="00C45A4D"/>
    <w:rsid w:val="00C4659A"/>
    <w:rsid w:val="00C478A5"/>
    <w:rsid w:val="00C50E7B"/>
    <w:rsid w:val="00C5143E"/>
    <w:rsid w:val="00C52AD2"/>
    <w:rsid w:val="00C53A64"/>
    <w:rsid w:val="00C5478E"/>
    <w:rsid w:val="00C5576F"/>
    <w:rsid w:val="00C56421"/>
    <w:rsid w:val="00C56DA1"/>
    <w:rsid w:val="00C574C2"/>
    <w:rsid w:val="00C61916"/>
    <w:rsid w:val="00C62C8A"/>
    <w:rsid w:val="00C6362B"/>
    <w:rsid w:val="00C648AB"/>
    <w:rsid w:val="00C66333"/>
    <w:rsid w:val="00C6755C"/>
    <w:rsid w:val="00C72391"/>
    <w:rsid w:val="00C73AC5"/>
    <w:rsid w:val="00C75ADD"/>
    <w:rsid w:val="00C7695E"/>
    <w:rsid w:val="00C76C74"/>
    <w:rsid w:val="00C7743D"/>
    <w:rsid w:val="00C80052"/>
    <w:rsid w:val="00C8173E"/>
    <w:rsid w:val="00C82271"/>
    <w:rsid w:val="00C82497"/>
    <w:rsid w:val="00C84DF5"/>
    <w:rsid w:val="00C906D0"/>
    <w:rsid w:val="00C90B5E"/>
    <w:rsid w:val="00C937CD"/>
    <w:rsid w:val="00C97B72"/>
    <w:rsid w:val="00CA25C0"/>
    <w:rsid w:val="00CA2957"/>
    <w:rsid w:val="00CA3131"/>
    <w:rsid w:val="00CA5480"/>
    <w:rsid w:val="00CB096F"/>
    <w:rsid w:val="00CB0BC4"/>
    <w:rsid w:val="00CB1AA8"/>
    <w:rsid w:val="00CB3BEF"/>
    <w:rsid w:val="00CB7F3A"/>
    <w:rsid w:val="00CC0E03"/>
    <w:rsid w:val="00CC1061"/>
    <w:rsid w:val="00CC1135"/>
    <w:rsid w:val="00CC18DE"/>
    <w:rsid w:val="00CC753B"/>
    <w:rsid w:val="00CD08D3"/>
    <w:rsid w:val="00CD2191"/>
    <w:rsid w:val="00CD35C2"/>
    <w:rsid w:val="00CD44FF"/>
    <w:rsid w:val="00CD5B66"/>
    <w:rsid w:val="00CD78BA"/>
    <w:rsid w:val="00CE013E"/>
    <w:rsid w:val="00CE25F9"/>
    <w:rsid w:val="00CE3671"/>
    <w:rsid w:val="00CE6F3E"/>
    <w:rsid w:val="00CE7CBB"/>
    <w:rsid w:val="00CE7D04"/>
    <w:rsid w:val="00CE7D40"/>
    <w:rsid w:val="00CF14A4"/>
    <w:rsid w:val="00CF534B"/>
    <w:rsid w:val="00CF5FA3"/>
    <w:rsid w:val="00CF660D"/>
    <w:rsid w:val="00CF7C6C"/>
    <w:rsid w:val="00D01D87"/>
    <w:rsid w:val="00D02E27"/>
    <w:rsid w:val="00D03F5B"/>
    <w:rsid w:val="00D05F52"/>
    <w:rsid w:val="00D06A92"/>
    <w:rsid w:val="00D107B9"/>
    <w:rsid w:val="00D11440"/>
    <w:rsid w:val="00D13C0D"/>
    <w:rsid w:val="00D1400F"/>
    <w:rsid w:val="00D1421F"/>
    <w:rsid w:val="00D1516F"/>
    <w:rsid w:val="00D15D59"/>
    <w:rsid w:val="00D16FB6"/>
    <w:rsid w:val="00D17965"/>
    <w:rsid w:val="00D21E00"/>
    <w:rsid w:val="00D229AB"/>
    <w:rsid w:val="00D2450F"/>
    <w:rsid w:val="00D25EF0"/>
    <w:rsid w:val="00D26524"/>
    <w:rsid w:val="00D301DE"/>
    <w:rsid w:val="00D311E2"/>
    <w:rsid w:val="00D32F87"/>
    <w:rsid w:val="00D35572"/>
    <w:rsid w:val="00D35886"/>
    <w:rsid w:val="00D366A3"/>
    <w:rsid w:val="00D369F8"/>
    <w:rsid w:val="00D41159"/>
    <w:rsid w:val="00D42406"/>
    <w:rsid w:val="00D42AE9"/>
    <w:rsid w:val="00D42DFF"/>
    <w:rsid w:val="00D43DA1"/>
    <w:rsid w:val="00D50DD0"/>
    <w:rsid w:val="00D516C0"/>
    <w:rsid w:val="00D52451"/>
    <w:rsid w:val="00D5393D"/>
    <w:rsid w:val="00D543CA"/>
    <w:rsid w:val="00D561D6"/>
    <w:rsid w:val="00D605A6"/>
    <w:rsid w:val="00D60ECD"/>
    <w:rsid w:val="00D63133"/>
    <w:rsid w:val="00D64566"/>
    <w:rsid w:val="00D64CE7"/>
    <w:rsid w:val="00D65C5C"/>
    <w:rsid w:val="00D70E6D"/>
    <w:rsid w:val="00D765B0"/>
    <w:rsid w:val="00D81279"/>
    <w:rsid w:val="00D84657"/>
    <w:rsid w:val="00D856FE"/>
    <w:rsid w:val="00D91F12"/>
    <w:rsid w:val="00D92502"/>
    <w:rsid w:val="00D95C81"/>
    <w:rsid w:val="00D9621E"/>
    <w:rsid w:val="00D97ED6"/>
    <w:rsid w:val="00DA0195"/>
    <w:rsid w:val="00DA1ACD"/>
    <w:rsid w:val="00DA2D8D"/>
    <w:rsid w:val="00DA4EE9"/>
    <w:rsid w:val="00DA510D"/>
    <w:rsid w:val="00DA688F"/>
    <w:rsid w:val="00DA72B5"/>
    <w:rsid w:val="00DB2811"/>
    <w:rsid w:val="00DB6B7C"/>
    <w:rsid w:val="00DB74AA"/>
    <w:rsid w:val="00DC0A94"/>
    <w:rsid w:val="00DC47EC"/>
    <w:rsid w:val="00DC729A"/>
    <w:rsid w:val="00DC7751"/>
    <w:rsid w:val="00DD2C12"/>
    <w:rsid w:val="00DD3069"/>
    <w:rsid w:val="00DD44F2"/>
    <w:rsid w:val="00DD50FB"/>
    <w:rsid w:val="00DD5255"/>
    <w:rsid w:val="00DD65C2"/>
    <w:rsid w:val="00DD7EA4"/>
    <w:rsid w:val="00DE0E00"/>
    <w:rsid w:val="00DE4D06"/>
    <w:rsid w:val="00DE5BD0"/>
    <w:rsid w:val="00DF1347"/>
    <w:rsid w:val="00DF14C1"/>
    <w:rsid w:val="00DF3AFE"/>
    <w:rsid w:val="00DF45D8"/>
    <w:rsid w:val="00DF4CC9"/>
    <w:rsid w:val="00DF5046"/>
    <w:rsid w:val="00DF69EC"/>
    <w:rsid w:val="00DF7103"/>
    <w:rsid w:val="00E0060C"/>
    <w:rsid w:val="00E00647"/>
    <w:rsid w:val="00E022B7"/>
    <w:rsid w:val="00E02633"/>
    <w:rsid w:val="00E02848"/>
    <w:rsid w:val="00E039E5"/>
    <w:rsid w:val="00E03A40"/>
    <w:rsid w:val="00E03EA0"/>
    <w:rsid w:val="00E04F7D"/>
    <w:rsid w:val="00E148CA"/>
    <w:rsid w:val="00E148F4"/>
    <w:rsid w:val="00E15D0D"/>
    <w:rsid w:val="00E1630D"/>
    <w:rsid w:val="00E1642F"/>
    <w:rsid w:val="00E22D93"/>
    <w:rsid w:val="00E25D6B"/>
    <w:rsid w:val="00E25F7A"/>
    <w:rsid w:val="00E269C6"/>
    <w:rsid w:val="00E272D2"/>
    <w:rsid w:val="00E30345"/>
    <w:rsid w:val="00E32162"/>
    <w:rsid w:val="00E32C6E"/>
    <w:rsid w:val="00E34495"/>
    <w:rsid w:val="00E346AB"/>
    <w:rsid w:val="00E35531"/>
    <w:rsid w:val="00E35853"/>
    <w:rsid w:val="00E423BA"/>
    <w:rsid w:val="00E42558"/>
    <w:rsid w:val="00E44ADB"/>
    <w:rsid w:val="00E44B96"/>
    <w:rsid w:val="00E44BBF"/>
    <w:rsid w:val="00E45B27"/>
    <w:rsid w:val="00E50494"/>
    <w:rsid w:val="00E50A07"/>
    <w:rsid w:val="00E5261C"/>
    <w:rsid w:val="00E53E1C"/>
    <w:rsid w:val="00E53E99"/>
    <w:rsid w:val="00E550CF"/>
    <w:rsid w:val="00E5530A"/>
    <w:rsid w:val="00E57A4F"/>
    <w:rsid w:val="00E6122C"/>
    <w:rsid w:val="00E61E05"/>
    <w:rsid w:val="00E63565"/>
    <w:rsid w:val="00E662BA"/>
    <w:rsid w:val="00E66EE7"/>
    <w:rsid w:val="00E722AA"/>
    <w:rsid w:val="00E7566B"/>
    <w:rsid w:val="00E839F1"/>
    <w:rsid w:val="00E9234B"/>
    <w:rsid w:val="00E927CF"/>
    <w:rsid w:val="00E93539"/>
    <w:rsid w:val="00E962EA"/>
    <w:rsid w:val="00E9756E"/>
    <w:rsid w:val="00EA27B1"/>
    <w:rsid w:val="00EA2923"/>
    <w:rsid w:val="00EA2FC8"/>
    <w:rsid w:val="00EA377F"/>
    <w:rsid w:val="00EA465B"/>
    <w:rsid w:val="00EA53DE"/>
    <w:rsid w:val="00EA69F1"/>
    <w:rsid w:val="00EB0F53"/>
    <w:rsid w:val="00EB169D"/>
    <w:rsid w:val="00EB2171"/>
    <w:rsid w:val="00EB22A4"/>
    <w:rsid w:val="00EB3476"/>
    <w:rsid w:val="00EB4418"/>
    <w:rsid w:val="00EB5B61"/>
    <w:rsid w:val="00EB6C79"/>
    <w:rsid w:val="00EB74D4"/>
    <w:rsid w:val="00EB7508"/>
    <w:rsid w:val="00EB7630"/>
    <w:rsid w:val="00ED0553"/>
    <w:rsid w:val="00ED228E"/>
    <w:rsid w:val="00ED2754"/>
    <w:rsid w:val="00ED5127"/>
    <w:rsid w:val="00EE04C3"/>
    <w:rsid w:val="00EE13B8"/>
    <w:rsid w:val="00EE2B5D"/>
    <w:rsid w:val="00EE2EA5"/>
    <w:rsid w:val="00EE3C44"/>
    <w:rsid w:val="00EE5668"/>
    <w:rsid w:val="00EE60C8"/>
    <w:rsid w:val="00EE6333"/>
    <w:rsid w:val="00EF17E9"/>
    <w:rsid w:val="00EF23AD"/>
    <w:rsid w:val="00EF2725"/>
    <w:rsid w:val="00EF3705"/>
    <w:rsid w:val="00EF3F86"/>
    <w:rsid w:val="00EF4CAD"/>
    <w:rsid w:val="00EF5EFC"/>
    <w:rsid w:val="00EF6404"/>
    <w:rsid w:val="00EF6483"/>
    <w:rsid w:val="00F0113F"/>
    <w:rsid w:val="00F01A0F"/>
    <w:rsid w:val="00F01C95"/>
    <w:rsid w:val="00F01E02"/>
    <w:rsid w:val="00F031EC"/>
    <w:rsid w:val="00F03333"/>
    <w:rsid w:val="00F03466"/>
    <w:rsid w:val="00F03BAF"/>
    <w:rsid w:val="00F04997"/>
    <w:rsid w:val="00F04ACE"/>
    <w:rsid w:val="00F0641C"/>
    <w:rsid w:val="00F06F9A"/>
    <w:rsid w:val="00F110CD"/>
    <w:rsid w:val="00F134C1"/>
    <w:rsid w:val="00F14C20"/>
    <w:rsid w:val="00F16EAB"/>
    <w:rsid w:val="00F2156B"/>
    <w:rsid w:val="00F23F51"/>
    <w:rsid w:val="00F24F37"/>
    <w:rsid w:val="00F256AF"/>
    <w:rsid w:val="00F27C0A"/>
    <w:rsid w:val="00F3135D"/>
    <w:rsid w:val="00F3157C"/>
    <w:rsid w:val="00F315E7"/>
    <w:rsid w:val="00F32D9C"/>
    <w:rsid w:val="00F3411C"/>
    <w:rsid w:val="00F40044"/>
    <w:rsid w:val="00F45E15"/>
    <w:rsid w:val="00F512DE"/>
    <w:rsid w:val="00F52375"/>
    <w:rsid w:val="00F53B12"/>
    <w:rsid w:val="00F569A6"/>
    <w:rsid w:val="00F60D6B"/>
    <w:rsid w:val="00F61C74"/>
    <w:rsid w:val="00F6386D"/>
    <w:rsid w:val="00F640C5"/>
    <w:rsid w:val="00F64C2F"/>
    <w:rsid w:val="00F6589D"/>
    <w:rsid w:val="00F66011"/>
    <w:rsid w:val="00F67215"/>
    <w:rsid w:val="00F67A0C"/>
    <w:rsid w:val="00F74ED8"/>
    <w:rsid w:val="00F75349"/>
    <w:rsid w:val="00F75D9E"/>
    <w:rsid w:val="00F767D3"/>
    <w:rsid w:val="00F7721C"/>
    <w:rsid w:val="00F77AFF"/>
    <w:rsid w:val="00F80357"/>
    <w:rsid w:val="00F807D8"/>
    <w:rsid w:val="00F82ACF"/>
    <w:rsid w:val="00F87964"/>
    <w:rsid w:val="00F90F6F"/>
    <w:rsid w:val="00F914AB"/>
    <w:rsid w:val="00F93614"/>
    <w:rsid w:val="00F94D62"/>
    <w:rsid w:val="00FA033D"/>
    <w:rsid w:val="00FA0D35"/>
    <w:rsid w:val="00FA128A"/>
    <w:rsid w:val="00FA2550"/>
    <w:rsid w:val="00FA4B4A"/>
    <w:rsid w:val="00FA68CE"/>
    <w:rsid w:val="00FB11EF"/>
    <w:rsid w:val="00FB2353"/>
    <w:rsid w:val="00FB2C61"/>
    <w:rsid w:val="00FB4FB2"/>
    <w:rsid w:val="00FB785E"/>
    <w:rsid w:val="00FC2E9A"/>
    <w:rsid w:val="00FD0591"/>
    <w:rsid w:val="00FD24CB"/>
    <w:rsid w:val="00FD2C4E"/>
    <w:rsid w:val="00FD3F70"/>
    <w:rsid w:val="00FD47C4"/>
    <w:rsid w:val="00FD5314"/>
    <w:rsid w:val="00FD6AB9"/>
    <w:rsid w:val="00FD7625"/>
    <w:rsid w:val="00FE0428"/>
    <w:rsid w:val="00FE07C9"/>
    <w:rsid w:val="00FE3DE2"/>
    <w:rsid w:val="00FE496E"/>
    <w:rsid w:val="00FE6CAE"/>
    <w:rsid w:val="00FF00A7"/>
    <w:rsid w:val="00FF0563"/>
    <w:rsid w:val="00FF3157"/>
    <w:rsid w:val="00FF3D1D"/>
    <w:rsid w:val="00FF418F"/>
    <w:rsid w:val="00FF41D4"/>
    <w:rsid w:val="00FF4380"/>
    <w:rsid w:val="00FF58AB"/>
    <w:rsid w:val="00FF6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830E9"/>
  <w15:chartTrackingRefBased/>
  <w15:docId w15:val="{DFCCBAEB-2469-4C2E-8B7A-03843346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2306"/>
    <w:pPr>
      <w:spacing w:after="200" w:line="276" w:lineRule="auto"/>
    </w:pPr>
    <w:rPr>
      <w:sz w:val="22"/>
      <w:szCs w:val="22"/>
      <w:lang w:eastAsia="en-US"/>
    </w:rPr>
  </w:style>
  <w:style w:type="paragraph" w:styleId="Nagwek1">
    <w:name w:val="heading 1"/>
    <w:basedOn w:val="Normalny"/>
    <w:next w:val="Normalny"/>
    <w:link w:val="Nagwek1Znak"/>
    <w:uiPriority w:val="9"/>
    <w:qFormat/>
    <w:rsid w:val="00216B68"/>
    <w:pPr>
      <w:keepNext/>
      <w:spacing w:before="240" w:after="60"/>
      <w:outlineLvl w:val="0"/>
    </w:pPr>
    <w:rPr>
      <w:rFonts w:ascii="Calibri Light" w:eastAsia="Times New Roman"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rPr>
      <w:sz w:val="22"/>
      <w:szCs w:val="22"/>
      <w:lang w:eastAsia="en-US"/>
    </w:r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723AC"/>
    <w:rPr>
      <w:rFonts w:ascii="Tahoma" w:hAnsi="Tahoma" w:cs="Tahoma"/>
      <w:sz w:val="16"/>
      <w:szCs w:val="16"/>
    </w:rPr>
  </w:style>
  <w:style w:type="character" w:styleId="Odwoaniedokomentarza">
    <w:name w:val="annotation reference"/>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link w:val="Tematkomentarza"/>
    <w:uiPriority w:val="99"/>
    <w:semiHidden/>
    <w:rsid w:val="00F16EAB"/>
    <w:rPr>
      <w:b/>
      <w:bCs/>
      <w:sz w:val="20"/>
      <w:szCs w:val="20"/>
    </w:rPr>
  </w:style>
  <w:style w:type="character" w:styleId="Pogrubienie">
    <w:name w:val="Strong"/>
    <w:uiPriority w:val="22"/>
    <w:qFormat/>
    <w:rsid w:val="00892306"/>
    <w:rPr>
      <w:b/>
      <w:bCs/>
    </w:rPr>
  </w:style>
  <w:style w:type="paragraph" w:styleId="NormalnyWeb">
    <w:name w:val="Normal (Web)"/>
    <w:basedOn w:val="Normalny"/>
    <w:uiPriority w:val="99"/>
    <w:unhideWhenUsed/>
    <w:rsid w:val="00317D7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A425FD"/>
    <w:rPr>
      <w:color w:val="0563C1"/>
      <w:u w:val="single"/>
    </w:rPr>
  </w:style>
  <w:style w:type="character" w:styleId="Uwydatnienie">
    <w:name w:val="Emphasis"/>
    <w:uiPriority w:val="20"/>
    <w:qFormat/>
    <w:rsid w:val="00C5143E"/>
    <w:rPr>
      <w:i/>
      <w:iCs/>
    </w:rPr>
  </w:style>
  <w:style w:type="paragraph" w:customStyle="1" w:styleId="v1msonormal">
    <w:name w:val="v1msonormal"/>
    <w:basedOn w:val="Normalny"/>
    <w:rsid w:val="0043219C"/>
    <w:pPr>
      <w:spacing w:before="100" w:beforeAutospacing="1" w:after="100" w:afterAutospacing="1" w:line="240" w:lineRule="auto"/>
    </w:pPr>
    <w:rPr>
      <w:rFonts w:ascii="Times New Roman" w:eastAsia="Times New Roman" w:hAnsi="Times New Roman"/>
      <w:sz w:val="24"/>
      <w:szCs w:val="24"/>
      <w:lang w:eastAsia="pl-PL"/>
    </w:rPr>
  </w:style>
  <w:style w:type="table" w:styleId="Jasnalista">
    <w:name w:val="Light List"/>
    <w:basedOn w:val="Standardowy"/>
    <w:uiPriority w:val="61"/>
    <w:rsid w:val="005D6A2C"/>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Nagwek1Znak">
    <w:name w:val="Nagłówek 1 Znak"/>
    <w:link w:val="Nagwek1"/>
    <w:uiPriority w:val="9"/>
    <w:rsid w:val="00216B68"/>
    <w:rPr>
      <w:rFonts w:ascii="Calibri Light" w:eastAsia="Times New Roman" w:hAnsi="Calibri Light" w:cs="Times New Roman"/>
      <w:b/>
      <w:bCs/>
      <w:kern w:val="32"/>
      <w:sz w:val="32"/>
      <w:szCs w:val="32"/>
      <w:lang w:eastAsia="en-US"/>
    </w:rPr>
  </w:style>
  <w:style w:type="paragraph" w:styleId="Tekstprzypisudolnego">
    <w:name w:val="footnote text"/>
    <w:basedOn w:val="Normalny"/>
    <w:link w:val="TekstprzypisudolnegoZnak"/>
    <w:uiPriority w:val="99"/>
    <w:semiHidden/>
    <w:unhideWhenUsed/>
    <w:rsid w:val="004474C3"/>
    <w:rPr>
      <w:sz w:val="20"/>
      <w:szCs w:val="20"/>
    </w:rPr>
  </w:style>
  <w:style w:type="character" w:customStyle="1" w:styleId="TekstprzypisudolnegoZnak">
    <w:name w:val="Tekst przypisu dolnego Znak"/>
    <w:link w:val="Tekstprzypisudolnego"/>
    <w:uiPriority w:val="99"/>
    <w:semiHidden/>
    <w:rsid w:val="004474C3"/>
    <w:rPr>
      <w:lang w:eastAsia="en-US"/>
    </w:rPr>
  </w:style>
  <w:style w:type="character" w:styleId="Odwoanieprzypisudolnego">
    <w:name w:val="footnote reference"/>
    <w:uiPriority w:val="99"/>
    <w:semiHidden/>
    <w:unhideWhenUsed/>
    <w:rsid w:val="004474C3"/>
    <w:rPr>
      <w:vertAlign w:val="superscript"/>
    </w:rPr>
  </w:style>
  <w:style w:type="character" w:customStyle="1" w:styleId="cf01">
    <w:name w:val="cf01"/>
    <w:rsid w:val="008C3E79"/>
    <w:rPr>
      <w:rFonts w:ascii="Segoe UI" w:hAnsi="Segoe UI" w:cs="Segoe UI" w:hint="default"/>
      <w:sz w:val="18"/>
      <w:szCs w:val="18"/>
    </w:rPr>
  </w:style>
  <w:style w:type="character" w:styleId="Nierozpoznanawzmianka">
    <w:name w:val="Unresolved Mention"/>
    <w:uiPriority w:val="99"/>
    <w:semiHidden/>
    <w:unhideWhenUsed/>
    <w:rsid w:val="00B479A3"/>
    <w:rPr>
      <w:color w:val="605E5C"/>
      <w:shd w:val="clear" w:color="auto" w:fill="E1DFDD"/>
    </w:rPr>
  </w:style>
  <w:style w:type="paragraph" w:styleId="Poprawka">
    <w:name w:val="Revision"/>
    <w:hidden/>
    <w:uiPriority w:val="99"/>
    <w:semiHidden/>
    <w:rsid w:val="00BE22C7"/>
    <w:rPr>
      <w:sz w:val="22"/>
      <w:szCs w:val="22"/>
      <w:lang w:eastAsia="en-US"/>
    </w:rPr>
  </w:style>
  <w:style w:type="paragraph" w:customStyle="1" w:styleId="pf0">
    <w:name w:val="pf0"/>
    <w:basedOn w:val="Normalny"/>
    <w:rsid w:val="00A169C8"/>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4886">
      <w:bodyDiv w:val="1"/>
      <w:marLeft w:val="0"/>
      <w:marRight w:val="0"/>
      <w:marTop w:val="0"/>
      <w:marBottom w:val="0"/>
      <w:divBdr>
        <w:top w:val="none" w:sz="0" w:space="0" w:color="auto"/>
        <w:left w:val="none" w:sz="0" w:space="0" w:color="auto"/>
        <w:bottom w:val="none" w:sz="0" w:space="0" w:color="auto"/>
        <w:right w:val="none" w:sz="0" w:space="0" w:color="auto"/>
      </w:divBdr>
    </w:div>
    <w:div w:id="45616442">
      <w:bodyDiv w:val="1"/>
      <w:marLeft w:val="0"/>
      <w:marRight w:val="0"/>
      <w:marTop w:val="0"/>
      <w:marBottom w:val="0"/>
      <w:divBdr>
        <w:top w:val="none" w:sz="0" w:space="0" w:color="auto"/>
        <w:left w:val="none" w:sz="0" w:space="0" w:color="auto"/>
        <w:bottom w:val="none" w:sz="0" w:space="0" w:color="auto"/>
        <w:right w:val="none" w:sz="0" w:space="0" w:color="auto"/>
      </w:divBdr>
    </w:div>
    <w:div w:id="98575259">
      <w:bodyDiv w:val="1"/>
      <w:marLeft w:val="0"/>
      <w:marRight w:val="0"/>
      <w:marTop w:val="0"/>
      <w:marBottom w:val="0"/>
      <w:divBdr>
        <w:top w:val="none" w:sz="0" w:space="0" w:color="auto"/>
        <w:left w:val="none" w:sz="0" w:space="0" w:color="auto"/>
        <w:bottom w:val="none" w:sz="0" w:space="0" w:color="auto"/>
        <w:right w:val="none" w:sz="0" w:space="0" w:color="auto"/>
      </w:divBdr>
    </w:div>
    <w:div w:id="118185027">
      <w:bodyDiv w:val="1"/>
      <w:marLeft w:val="0"/>
      <w:marRight w:val="0"/>
      <w:marTop w:val="0"/>
      <w:marBottom w:val="0"/>
      <w:divBdr>
        <w:top w:val="none" w:sz="0" w:space="0" w:color="auto"/>
        <w:left w:val="none" w:sz="0" w:space="0" w:color="auto"/>
        <w:bottom w:val="none" w:sz="0" w:space="0" w:color="auto"/>
        <w:right w:val="none" w:sz="0" w:space="0" w:color="auto"/>
      </w:divBdr>
    </w:div>
    <w:div w:id="133258789">
      <w:bodyDiv w:val="1"/>
      <w:marLeft w:val="0"/>
      <w:marRight w:val="0"/>
      <w:marTop w:val="0"/>
      <w:marBottom w:val="0"/>
      <w:divBdr>
        <w:top w:val="none" w:sz="0" w:space="0" w:color="auto"/>
        <w:left w:val="none" w:sz="0" w:space="0" w:color="auto"/>
        <w:bottom w:val="none" w:sz="0" w:space="0" w:color="auto"/>
        <w:right w:val="none" w:sz="0" w:space="0" w:color="auto"/>
      </w:divBdr>
    </w:div>
    <w:div w:id="139077213">
      <w:bodyDiv w:val="1"/>
      <w:marLeft w:val="0"/>
      <w:marRight w:val="0"/>
      <w:marTop w:val="0"/>
      <w:marBottom w:val="0"/>
      <w:divBdr>
        <w:top w:val="none" w:sz="0" w:space="0" w:color="auto"/>
        <w:left w:val="none" w:sz="0" w:space="0" w:color="auto"/>
        <w:bottom w:val="none" w:sz="0" w:space="0" w:color="auto"/>
        <w:right w:val="none" w:sz="0" w:space="0" w:color="auto"/>
      </w:divBdr>
    </w:div>
    <w:div w:id="152111411">
      <w:bodyDiv w:val="1"/>
      <w:marLeft w:val="0"/>
      <w:marRight w:val="0"/>
      <w:marTop w:val="0"/>
      <w:marBottom w:val="0"/>
      <w:divBdr>
        <w:top w:val="none" w:sz="0" w:space="0" w:color="auto"/>
        <w:left w:val="none" w:sz="0" w:space="0" w:color="auto"/>
        <w:bottom w:val="none" w:sz="0" w:space="0" w:color="auto"/>
        <w:right w:val="none" w:sz="0" w:space="0" w:color="auto"/>
      </w:divBdr>
    </w:div>
    <w:div w:id="175581045">
      <w:bodyDiv w:val="1"/>
      <w:marLeft w:val="0"/>
      <w:marRight w:val="0"/>
      <w:marTop w:val="0"/>
      <w:marBottom w:val="0"/>
      <w:divBdr>
        <w:top w:val="none" w:sz="0" w:space="0" w:color="auto"/>
        <w:left w:val="none" w:sz="0" w:space="0" w:color="auto"/>
        <w:bottom w:val="none" w:sz="0" w:space="0" w:color="auto"/>
        <w:right w:val="none" w:sz="0" w:space="0" w:color="auto"/>
      </w:divBdr>
    </w:div>
    <w:div w:id="217397060">
      <w:bodyDiv w:val="1"/>
      <w:marLeft w:val="0"/>
      <w:marRight w:val="0"/>
      <w:marTop w:val="0"/>
      <w:marBottom w:val="0"/>
      <w:divBdr>
        <w:top w:val="none" w:sz="0" w:space="0" w:color="auto"/>
        <w:left w:val="none" w:sz="0" w:space="0" w:color="auto"/>
        <w:bottom w:val="none" w:sz="0" w:space="0" w:color="auto"/>
        <w:right w:val="none" w:sz="0" w:space="0" w:color="auto"/>
      </w:divBdr>
    </w:div>
    <w:div w:id="219901960">
      <w:bodyDiv w:val="1"/>
      <w:marLeft w:val="0"/>
      <w:marRight w:val="0"/>
      <w:marTop w:val="0"/>
      <w:marBottom w:val="0"/>
      <w:divBdr>
        <w:top w:val="none" w:sz="0" w:space="0" w:color="auto"/>
        <w:left w:val="none" w:sz="0" w:space="0" w:color="auto"/>
        <w:bottom w:val="none" w:sz="0" w:space="0" w:color="auto"/>
        <w:right w:val="none" w:sz="0" w:space="0" w:color="auto"/>
      </w:divBdr>
    </w:div>
    <w:div w:id="230190895">
      <w:bodyDiv w:val="1"/>
      <w:marLeft w:val="0"/>
      <w:marRight w:val="0"/>
      <w:marTop w:val="0"/>
      <w:marBottom w:val="0"/>
      <w:divBdr>
        <w:top w:val="none" w:sz="0" w:space="0" w:color="auto"/>
        <w:left w:val="none" w:sz="0" w:space="0" w:color="auto"/>
        <w:bottom w:val="none" w:sz="0" w:space="0" w:color="auto"/>
        <w:right w:val="none" w:sz="0" w:space="0" w:color="auto"/>
      </w:divBdr>
    </w:div>
    <w:div w:id="421219584">
      <w:bodyDiv w:val="1"/>
      <w:marLeft w:val="0"/>
      <w:marRight w:val="0"/>
      <w:marTop w:val="0"/>
      <w:marBottom w:val="0"/>
      <w:divBdr>
        <w:top w:val="none" w:sz="0" w:space="0" w:color="auto"/>
        <w:left w:val="none" w:sz="0" w:space="0" w:color="auto"/>
        <w:bottom w:val="none" w:sz="0" w:space="0" w:color="auto"/>
        <w:right w:val="none" w:sz="0" w:space="0" w:color="auto"/>
      </w:divBdr>
    </w:div>
    <w:div w:id="430472237">
      <w:bodyDiv w:val="1"/>
      <w:marLeft w:val="0"/>
      <w:marRight w:val="0"/>
      <w:marTop w:val="0"/>
      <w:marBottom w:val="0"/>
      <w:divBdr>
        <w:top w:val="none" w:sz="0" w:space="0" w:color="auto"/>
        <w:left w:val="none" w:sz="0" w:space="0" w:color="auto"/>
        <w:bottom w:val="none" w:sz="0" w:space="0" w:color="auto"/>
        <w:right w:val="none" w:sz="0" w:space="0" w:color="auto"/>
      </w:divBdr>
    </w:div>
    <w:div w:id="521092125">
      <w:bodyDiv w:val="1"/>
      <w:marLeft w:val="0"/>
      <w:marRight w:val="0"/>
      <w:marTop w:val="0"/>
      <w:marBottom w:val="0"/>
      <w:divBdr>
        <w:top w:val="none" w:sz="0" w:space="0" w:color="auto"/>
        <w:left w:val="none" w:sz="0" w:space="0" w:color="auto"/>
        <w:bottom w:val="none" w:sz="0" w:space="0" w:color="auto"/>
        <w:right w:val="none" w:sz="0" w:space="0" w:color="auto"/>
      </w:divBdr>
    </w:div>
    <w:div w:id="556281537">
      <w:bodyDiv w:val="1"/>
      <w:marLeft w:val="0"/>
      <w:marRight w:val="0"/>
      <w:marTop w:val="0"/>
      <w:marBottom w:val="0"/>
      <w:divBdr>
        <w:top w:val="none" w:sz="0" w:space="0" w:color="auto"/>
        <w:left w:val="none" w:sz="0" w:space="0" w:color="auto"/>
        <w:bottom w:val="none" w:sz="0" w:space="0" w:color="auto"/>
        <w:right w:val="none" w:sz="0" w:space="0" w:color="auto"/>
      </w:divBdr>
    </w:div>
    <w:div w:id="571240118">
      <w:bodyDiv w:val="1"/>
      <w:marLeft w:val="0"/>
      <w:marRight w:val="0"/>
      <w:marTop w:val="0"/>
      <w:marBottom w:val="0"/>
      <w:divBdr>
        <w:top w:val="none" w:sz="0" w:space="0" w:color="auto"/>
        <w:left w:val="none" w:sz="0" w:space="0" w:color="auto"/>
        <w:bottom w:val="none" w:sz="0" w:space="0" w:color="auto"/>
        <w:right w:val="none" w:sz="0" w:space="0" w:color="auto"/>
      </w:divBdr>
    </w:div>
    <w:div w:id="586186405">
      <w:bodyDiv w:val="1"/>
      <w:marLeft w:val="0"/>
      <w:marRight w:val="0"/>
      <w:marTop w:val="0"/>
      <w:marBottom w:val="0"/>
      <w:divBdr>
        <w:top w:val="none" w:sz="0" w:space="0" w:color="auto"/>
        <w:left w:val="none" w:sz="0" w:space="0" w:color="auto"/>
        <w:bottom w:val="none" w:sz="0" w:space="0" w:color="auto"/>
        <w:right w:val="none" w:sz="0" w:space="0" w:color="auto"/>
      </w:divBdr>
    </w:div>
    <w:div w:id="595015647">
      <w:bodyDiv w:val="1"/>
      <w:marLeft w:val="0"/>
      <w:marRight w:val="0"/>
      <w:marTop w:val="0"/>
      <w:marBottom w:val="0"/>
      <w:divBdr>
        <w:top w:val="none" w:sz="0" w:space="0" w:color="auto"/>
        <w:left w:val="none" w:sz="0" w:space="0" w:color="auto"/>
        <w:bottom w:val="none" w:sz="0" w:space="0" w:color="auto"/>
        <w:right w:val="none" w:sz="0" w:space="0" w:color="auto"/>
      </w:divBdr>
    </w:div>
    <w:div w:id="606544551">
      <w:bodyDiv w:val="1"/>
      <w:marLeft w:val="0"/>
      <w:marRight w:val="0"/>
      <w:marTop w:val="0"/>
      <w:marBottom w:val="0"/>
      <w:divBdr>
        <w:top w:val="none" w:sz="0" w:space="0" w:color="auto"/>
        <w:left w:val="none" w:sz="0" w:space="0" w:color="auto"/>
        <w:bottom w:val="none" w:sz="0" w:space="0" w:color="auto"/>
        <w:right w:val="none" w:sz="0" w:space="0" w:color="auto"/>
      </w:divBdr>
    </w:div>
    <w:div w:id="648360543">
      <w:bodyDiv w:val="1"/>
      <w:marLeft w:val="0"/>
      <w:marRight w:val="0"/>
      <w:marTop w:val="0"/>
      <w:marBottom w:val="0"/>
      <w:divBdr>
        <w:top w:val="none" w:sz="0" w:space="0" w:color="auto"/>
        <w:left w:val="none" w:sz="0" w:space="0" w:color="auto"/>
        <w:bottom w:val="none" w:sz="0" w:space="0" w:color="auto"/>
        <w:right w:val="none" w:sz="0" w:space="0" w:color="auto"/>
      </w:divBdr>
    </w:div>
    <w:div w:id="684940952">
      <w:bodyDiv w:val="1"/>
      <w:marLeft w:val="0"/>
      <w:marRight w:val="0"/>
      <w:marTop w:val="0"/>
      <w:marBottom w:val="0"/>
      <w:divBdr>
        <w:top w:val="none" w:sz="0" w:space="0" w:color="auto"/>
        <w:left w:val="none" w:sz="0" w:space="0" w:color="auto"/>
        <w:bottom w:val="none" w:sz="0" w:space="0" w:color="auto"/>
        <w:right w:val="none" w:sz="0" w:space="0" w:color="auto"/>
      </w:divBdr>
      <w:divsChild>
        <w:div w:id="654577940">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92867823">
              <w:marLeft w:val="0"/>
              <w:marRight w:val="0"/>
              <w:marTop w:val="0"/>
              <w:marBottom w:val="0"/>
              <w:divBdr>
                <w:top w:val="none" w:sz="0" w:space="0" w:color="auto"/>
                <w:left w:val="none" w:sz="0" w:space="0" w:color="auto"/>
                <w:bottom w:val="none" w:sz="0" w:space="0" w:color="auto"/>
                <w:right w:val="none" w:sz="0" w:space="0" w:color="auto"/>
              </w:divBdr>
              <w:divsChild>
                <w:div w:id="262223075">
                  <w:marLeft w:val="0"/>
                  <w:marRight w:val="0"/>
                  <w:marTop w:val="0"/>
                  <w:marBottom w:val="0"/>
                  <w:divBdr>
                    <w:top w:val="none" w:sz="0" w:space="0" w:color="auto"/>
                    <w:left w:val="none" w:sz="0" w:space="0" w:color="auto"/>
                    <w:bottom w:val="none" w:sz="0" w:space="0" w:color="auto"/>
                    <w:right w:val="none" w:sz="0" w:space="0" w:color="auto"/>
                  </w:divBdr>
                  <w:divsChild>
                    <w:div w:id="537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01178">
      <w:bodyDiv w:val="1"/>
      <w:marLeft w:val="0"/>
      <w:marRight w:val="0"/>
      <w:marTop w:val="0"/>
      <w:marBottom w:val="0"/>
      <w:divBdr>
        <w:top w:val="none" w:sz="0" w:space="0" w:color="auto"/>
        <w:left w:val="none" w:sz="0" w:space="0" w:color="auto"/>
        <w:bottom w:val="none" w:sz="0" w:space="0" w:color="auto"/>
        <w:right w:val="none" w:sz="0" w:space="0" w:color="auto"/>
      </w:divBdr>
    </w:div>
    <w:div w:id="734932423">
      <w:bodyDiv w:val="1"/>
      <w:marLeft w:val="0"/>
      <w:marRight w:val="0"/>
      <w:marTop w:val="0"/>
      <w:marBottom w:val="0"/>
      <w:divBdr>
        <w:top w:val="none" w:sz="0" w:space="0" w:color="auto"/>
        <w:left w:val="none" w:sz="0" w:space="0" w:color="auto"/>
        <w:bottom w:val="none" w:sz="0" w:space="0" w:color="auto"/>
        <w:right w:val="none" w:sz="0" w:space="0" w:color="auto"/>
      </w:divBdr>
    </w:div>
    <w:div w:id="759453357">
      <w:bodyDiv w:val="1"/>
      <w:marLeft w:val="0"/>
      <w:marRight w:val="0"/>
      <w:marTop w:val="0"/>
      <w:marBottom w:val="0"/>
      <w:divBdr>
        <w:top w:val="none" w:sz="0" w:space="0" w:color="auto"/>
        <w:left w:val="none" w:sz="0" w:space="0" w:color="auto"/>
        <w:bottom w:val="none" w:sz="0" w:space="0" w:color="auto"/>
        <w:right w:val="none" w:sz="0" w:space="0" w:color="auto"/>
      </w:divBdr>
    </w:div>
    <w:div w:id="788280748">
      <w:bodyDiv w:val="1"/>
      <w:marLeft w:val="0"/>
      <w:marRight w:val="0"/>
      <w:marTop w:val="0"/>
      <w:marBottom w:val="0"/>
      <w:divBdr>
        <w:top w:val="none" w:sz="0" w:space="0" w:color="auto"/>
        <w:left w:val="none" w:sz="0" w:space="0" w:color="auto"/>
        <w:bottom w:val="none" w:sz="0" w:space="0" w:color="auto"/>
        <w:right w:val="none" w:sz="0" w:space="0" w:color="auto"/>
      </w:divBdr>
    </w:div>
    <w:div w:id="818305226">
      <w:bodyDiv w:val="1"/>
      <w:marLeft w:val="0"/>
      <w:marRight w:val="0"/>
      <w:marTop w:val="0"/>
      <w:marBottom w:val="0"/>
      <w:divBdr>
        <w:top w:val="none" w:sz="0" w:space="0" w:color="auto"/>
        <w:left w:val="none" w:sz="0" w:space="0" w:color="auto"/>
        <w:bottom w:val="none" w:sz="0" w:space="0" w:color="auto"/>
        <w:right w:val="none" w:sz="0" w:space="0" w:color="auto"/>
      </w:divBdr>
      <w:divsChild>
        <w:div w:id="1997611265">
          <w:marLeft w:val="0"/>
          <w:marRight w:val="0"/>
          <w:marTop w:val="0"/>
          <w:marBottom w:val="0"/>
          <w:divBdr>
            <w:top w:val="none" w:sz="0" w:space="0" w:color="auto"/>
            <w:left w:val="none" w:sz="0" w:space="0" w:color="auto"/>
            <w:bottom w:val="none" w:sz="0" w:space="0" w:color="auto"/>
            <w:right w:val="none" w:sz="0" w:space="0" w:color="auto"/>
          </w:divBdr>
        </w:div>
      </w:divsChild>
    </w:div>
    <w:div w:id="825778965">
      <w:bodyDiv w:val="1"/>
      <w:marLeft w:val="0"/>
      <w:marRight w:val="0"/>
      <w:marTop w:val="0"/>
      <w:marBottom w:val="0"/>
      <w:divBdr>
        <w:top w:val="none" w:sz="0" w:space="0" w:color="auto"/>
        <w:left w:val="none" w:sz="0" w:space="0" w:color="auto"/>
        <w:bottom w:val="none" w:sz="0" w:space="0" w:color="auto"/>
        <w:right w:val="none" w:sz="0" w:space="0" w:color="auto"/>
      </w:divBdr>
    </w:div>
    <w:div w:id="855458817">
      <w:bodyDiv w:val="1"/>
      <w:marLeft w:val="0"/>
      <w:marRight w:val="0"/>
      <w:marTop w:val="0"/>
      <w:marBottom w:val="0"/>
      <w:divBdr>
        <w:top w:val="none" w:sz="0" w:space="0" w:color="auto"/>
        <w:left w:val="none" w:sz="0" w:space="0" w:color="auto"/>
        <w:bottom w:val="none" w:sz="0" w:space="0" w:color="auto"/>
        <w:right w:val="none" w:sz="0" w:space="0" w:color="auto"/>
      </w:divBdr>
    </w:div>
    <w:div w:id="873228961">
      <w:bodyDiv w:val="1"/>
      <w:marLeft w:val="0"/>
      <w:marRight w:val="0"/>
      <w:marTop w:val="0"/>
      <w:marBottom w:val="0"/>
      <w:divBdr>
        <w:top w:val="none" w:sz="0" w:space="0" w:color="auto"/>
        <w:left w:val="none" w:sz="0" w:space="0" w:color="auto"/>
        <w:bottom w:val="none" w:sz="0" w:space="0" w:color="auto"/>
        <w:right w:val="none" w:sz="0" w:space="0" w:color="auto"/>
      </w:divBdr>
    </w:div>
    <w:div w:id="904755831">
      <w:bodyDiv w:val="1"/>
      <w:marLeft w:val="0"/>
      <w:marRight w:val="0"/>
      <w:marTop w:val="0"/>
      <w:marBottom w:val="0"/>
      <w:divBdr>
        <w:top w:val="none" w:sz="0" w:space="0" w:color="auto"/>
        <w:left w:val="none" w:sz="0" w:space="0" w:color="auto"/>
        <w:bottom w:val="none" w:sz="0" w:space="0" w:color="auto"/>
        <w:right w:val="none" w:sz="0" w:space="0" w:color="auto"/>
      </w:divBdr>
    </w:div>
    <w:div w:id="943030248">
      <w:bodyDiv w:val="1"/>
      <w:marLeft w:val="0"/>
      <w:marRight w:val="0"/>
      <w:marTop w:val="0"/>
      <w:marBottom w:val="0"/>
      <w:divBdr>
        <w:top w:val="none" w:sz="0" w:space="0" w:color="auto"/>
        <w:left w:val="none" w:sz="0" w:space="0" w:color="auto"/>
        <w:bottom w:val="none" w:sz="0" w:space="0" w:color="auto"/>
        <w:right w:val="none" w:sz="0" w:space="0" w:color="auto"/>
      </w:divBdr>
    </w:div>
    <w:div w:id="961499319">
      <w:bodyDiv w:val="1"/>
      <w:marLeft w:val="0"/>
      <w:marRight w:val="0"/>
      <w:marTop w:val="0"/>
      <w:marBottom w:val="0"/>
      <w:divBdr>
        <w:top w:val="none" w:sz="0" w:space="0" w:color="auto"/>
        <w:left w:val="none" w:sz="0" w:space="0" w:color="auto"/>
        <w:bottom w:val="none" w:sz="0" w:space="0" w:color="auto"/>
        <w:right w:val="none" w:sz="0" w:space="0" w:color="auto"/>
      </w:divBdr>
    </w:div>
    <w:div w:id="1033310465">
      <w:bodyDiv w:val="1"/>
      <w:marLeft w:val="0"/>
      <w:marRight w:val="0"/>
      <w:marTop w:val="0"/>
      <w:marBottom w:val="0"/>
      <w:divBdr>
        <w:top w:val="none" w:sz="0" w:space="0" w:color="auto"/>
        <w:left w:val="none" w:sz="0" w:space="0" w:color="auto"/>
        <w:bottom w:val="none" w:sz="0" w:space="0" w:color="auto"/>
        <w:right w:val="none" w:sz="0" w:space="0" w:color="auto"/>
      </w:divBdr>
    </w:div>
    <w:div w:id="1039473569">
      <w:bodyDiv w:val="1"/>
      <w:marLeft w:val="0"/>
      <w:marRight w:val="0"/>
      <w:marTop w:val="0"/>
      <w:marBottom w:val="0"/>
      <w:divBdr>
        <w:top w:val="none" w:sz="0" w:space="0" w:color="auto"/>
        <w:left w:val="none" w:sz="0" w:space="0" w:color="auto"/>
        <w:bottom w:val="none" w:sz="0" w:space="0" w:color="auto"/>
        <w:right w:val="none" w:sz="0" w:space="0" w:color="auto"/>
      </w:divBdr>
    </w:div>
    <w:div w:id="1040325078">
      <w:bodyDiv w:val="1"/>
      <w:marLeft w:val="0"/>
      <w:marRight w:val="0"/>
      <w:marTop w:val="0"/>
      <w:marBottom w:val="0"/>
      <w:divBdr>
        <w:top w:val="none" w:sz="0" w:space="0" w:color="auto"/>
        <w:left w:val="none" w:sz="0" w:space="0" w:color="auto"/>
        <w:bottom w:val="none" w:sz="0" w:space="0" w:color="auto"/>
        <w:right w:val="none" w:sz="0" w:space="0" w:color="auto"/>
      </w:divBdr>
    </w:div>
    <w:div w:id="1046098057">
      <w:bodyDiv w:val="1"/>
      <w:marLeft w:val="0"/>
      <w:marRight w:val="0"/>
      <w:marTop w:val="0"/>
      <w:marBottom w:val="0"/>
      <w:divBdr>
        <w:top w:val="none" w:sz="0" w:space="0" w:color="auto"/>
        <w:left w:val="none" w:sz="0" w:space="0" w:color="auto"/>
        <w:bottom w:val="none" w:sz="0" w:space="0" w:color="auto"/>
        <w:right w:val="none" w:sz="0" w:space="0" w:color="auto"/>
      </w:divBdr>
    </w:div>
    <w:div w:id="1105613632">
      <w:bodyDiv w:val="1"/>
      <w:marLeft w:val="0"/>
      <w:marRight w:val="0"/>
      <w:marTop w:val="0"/>
      <w:marBottom w:val="0"/>
      <w:divBdr>
        <w:top w:val="none" w:sz="0" w:space="0" w:color="auto"/>
        <w:left w:val="none" w:sz="0" w:space="0" w:color="auto"/>
        <w:bottom w:val="none" w:sz="0" w:space="0" w:color="auto"/>
        <w:right w:val="none" w:sz="0" w:space="0" w:color="auto"/>
      </w:divBdr>
    </w:div>
    <w:div w:id="1145244825">
      <w:bodyDiv w:val="1"/>
      <w:marLeft w:val="0"/>
      <w:marRight w:val="0"/>
      <w:marTop w:val="0"/>
      <w:marBottom w:val="0"/>
      <w:divBdr>
        <w:top w:val="none" w:sz="0" w:space="0" w:color="auto"/>
        <w:left w:val="none" w:sz="0" w:space="0" w:color="auto"/>
        <w:bottom w:val="none" w:sz="0" w:space="0" w:color="auto"/>
        <w:right w:val="none" w:sz="0" w:space="0" w:color="auto"/>
      </w:divBdr>
    </w:div>
    <w:div w:id="1179153406">
      <w:bodyDiv w:val="1"/>
      <w:marLeft w:val="0"/>
      <w:marRight w:val="0"/>
      <w:marTop w:val="0"/>
      <w:marBottom w:val="0"/>
      <w:divBdr>
        <w:top w:val="none" w:sz="0" w:space="0" w:color="auto"/>
        <w:left w:val="none" w:sz="0" w:space="0" w:color="auto"/>
        <w:bottom w:val="none" w:sz="0" w:space="0" w:color="auto"/>
        <w:right w:val="none" w:sz="0" w:space="0" w:color="auto"/>
      </w:divBdr>
    </w:div>
    <w:div w:id="1190484818">
      <w:bodyDiv w:val="1"/>
      <w:marLeft w:val="0"/>
      <w:marRight w:val="0"/>
      <w:marTop w:val="0"/>
      <w:marBottom w:val="0"/>
      <w:divBdr>
        <w:top w:val="none" w:sz="0" w:space="0" w:color="auto"/>
        <w:left w:val="none" w:sz="0" w:space="0" w:color="auto"/>
        <w:bottom w:val="none" w:sz="0" w:space="0" w:color="auto"/>
        <w:right w:val="none" w:sz="0" w:space="0" w:color="auto"/>
      </w:divBdr>
    </w:div>
    <w:div w:id="1364476950">
      <w:bodyDiv w:val="1"/>
      <w:marLeft w:val="0"/>
      <w:marRight w:val="0"/>
      <w:marTop w:val="0"/>
      <w:marBottom w:val="0"/>
      <w:divBdr>
        <w:top w:val="none" w:sz="0" w:space="0" w:color="auto"/>
        <w:left w:val="none" w:sz="0" w:space="0" w:color="auto"/>
        <w:bottom w:val="none" w:sz="0" w:space="0" w:color="auto"/>
        <w:right w:val="none" w:sz="0" w:space="0" w:color="auto"/>
      </w:divBdr>
    </w:div>
    <w:div w:id="1373265536">
      <w:bodyDiv w:val="1"/>
      <w:marLeft w:val="0"/>
      <w:marRight w:val="0"/>
      <w:marTop w:val="0"/>
      <w:marBottom w:val="0"/>
      <w:divBdr>
        <w:top w:val="none" w:sz="0" w:space="0" w:color="auto"/>
        <w:left w:val="none" w:sz="0" w:space="0" w:color="auto"/>
        <w:bottom w:val="none" w:sz="0" w:space="0" w:color="auto"/>
        <w:right w:val="none" w:sz="0" w:space="0" w:color="auto"/>
      </w:divBdr>
    </w:div>
    <w:div w:id="1392774692">
      <w:bodyDiv w:val="1"/>
      <w:marLeft w:val="0"/>
      <w:marRight w:val="0"/>
      <w:marTop w:val="0"/>
      <w:marBottom w:val="0"/>
      <w:divBdr>
        <w:top w:val="none" w:sz="0" w:space="0" w:color="auto"/>
        <w:left w:val="none" w:sz="0" w:space="0" w:color="auto"/>
        <w:bottom w:val="none" w:sz="0" w:space="0" w:color="auto"/>
        <w:right w:val="none" w:sz="0" w:space="0" w:color="auto"/>
      </w:divBdr>
    </w:div>
    <w:div w:id="1406731263">
      <w:bodyDiv w:val="1"/>
      <w:marLeft w:val="0"/>
      <w:marRight w:val="0"/>
      <w:marTop w:val="0"/>
      <w:marBottom w:val="0"/>
      <w:divBdr>
        <w:top w:val="none" w:sz="0" w:space="0" w:color="auto"/>
        <w:left w:val="none" w:sz="0" w:space="0" w:color="auto"/>
        <w:bottom w:val="none" w:sz="0" w:space="0" w:color="auto"/>
        <w:right w:val="none" w:sz="0" w:space="0" w:color="auto"/>
      </w:divBdr>
    </w:div>
    <w:div w:id="1445271313">
      <w:bodyDiv w:val="1"/>
      <w:marLeft w:val="0"/>
      <w:marRight w:val="0"/>
      <w:marTop w:val="0"/>
      <w:marBottom w:val="0"/>
      <w:divBdr>
        <w:top w:val="none" w:sz="0" w:space="0" w:color="auto"/>
        <w:left w:val="none" w:sz="0" w:space="0" w:color="auto"/>
        <w:bottom w:val="none" w:sz="0" w:space="0" w:color="auto"/>
        <w:right w:val="none" w:sz="0" w:space="0" w:color="auto"/>
      </w:divBdr>
    </w:div>
    <w:div w:id="1466309309">
      <w:bodyDiv w:val="1"/>
      <w:marLeft w:val="0"/>
      <w:marRight w:val="0"/>
      <w:marTop w:val="0"/>
      <w:marBottom w:val="0"/>
      <w:divBdr>
        <w:top w:val="none" w:sz="0" w:space="0" w:color="auto"/>
        <w:left w:val="none" w:sz="0" w:space="0" w:color="auto"/>
        <w:bottom w:val="none" w:sz="0" w:space="0" w:color="auto"/>
        <w:right w:val="none" w:sz="0" w:space="0" w:color="auto"/>
      </w:divBdr>
    </w:div>
    <w:div w:id="1608460936">
      <w:bodyDiv w:val="1"/>
      <w:marLeft w:val="0"/>
      <w:marRight w:val="0"/>
      <w:marTop w:val="0"/>
      <w:marBottom w:val="0"/>
      <w:divBdr>
        <w:top w:val="none" w:sz="0" w:space="0" w:color="auto"/>
        <w:left w:val="none" w:sz="0" w:space="0" w:color="auto"/>
        <w:bottom w:val="none" w:sz="0" w:space="0" w:color="auto"/>
        <w:right w:val="none" w:sz="0" w:space="0" w:color="auto"/>
      </w:divBdr>
    </w:div>
    <w:div w:id="1667173094">
      <w:bodyDiv w:val="1"/>
      <w:marLeft w:val="0"/>
      <w:marRight w:val="0"/>
      <w:marTop w:val="0"/>
      <w:marBottom w:val="0"/>
      <w:divBdr>
        <w:top w:val="none" w:sz="0" w:space="0" w:color="auto"/>
        <w:left w:val="none" w:sz="0" w:space="0" w:color="auto"/>
        <w:bottom w:val="none" w:sz="0" w:space="0" w:color="auto"/>
        <w:right w:val="none" w:sz="0" w:space="0" w:color="auto"/>
      </w:divBdr>
    </w:div>
    <w:div w:id="1687513420">
      <w:bodyDiv w:val="1"/>
      <w:marLeft w:val="0"/>
      <w:marRight w:val="0"/>
      <w:marTop w:val="0"/>
      <w:marBottom w:val="0"/>
      <w:divBdr>
        <w:top w:val="none" w:sz="0" w:space="0" w:color="auto"/>
        <w:left w:val="none" w:sz="0" w:space="0" w:color="auto"/>
        <w:bottom w:val="none" w:sz="0" w:space="0" w:color="auto"/>
        <w:right w:val="none" w:sz="0" w:space="0" w:color="auto"/>
      </w:divBdr>
    </w:div>
    <w:div w:id="1712682612">
      <w:bodyDiv w:val="1"/>
      <w:marLeft w:val="0"/>
      <w:marRight w:val="0"/>
      <w:marTop w:val="0"/>
      <w:marBottom w:val="0"/>
      <w:divBdr>
        <w:top w:val="none" w:sz="0" w:space="0" w:color="auto"/>
        <w:left w:val="none" w:sz="0" w:space="0" w:color="auto"/>
        <w:bottom w:val="none" w:sz="0" w:space="0" w:color="auto"/>
        <w:right w:val="none" w:sz="0" w:space="0" w:color="auto"/>
      </w:divBdr>
    </w:div>
    <w:div w:id="1805999089">
      <w:bodyDiv w:val="1"/>
      <w:marLeft w:val="0"/>
      <w:marRight w:val="0"/>
      <w:marTop w:val="0"/>
      <w:marBottom w:val="0"/>
      <w:divBdr>
        <w:top w:val="none" w:sz="0" w:space="0" w:color="auto"/>
        <w:left w:val="none" w:sz="0" w:space="0" w:color="auto"/>
        <w:bottom w:val="none" w:sz="0" w:space="0" w:color="auto"/>
        <w:right w:val="none" w:sz="0" w:space="0" w:color="auto"/>
      </w:divBdr>
    </w:div>
    <w:div w:id="1816096069">
      <w:bodyDiv w:val="1"/>
      <w:marLeft w:val="0"/>
      <w:marRight w:val="0"/>
      <w:marTop w:val="0"/>
      <w:marBottom w:val="0"/>
      <w:divBdr>
        <w:top w:val="none" w:sz="0" w:space="0" w:color="auto"/>
        <w:left w:val="none" w:sz="0" w:space="0" w:color="auto"/>
        <w:bottom w:val="none" w:sz="0" w:space="0" w:color="auto"/>
        <w:right w:val="none" w:sz="0" w:space="0" w:color="auto"/>
      </w:divBdr>
    </w:div>
    <w:div w:id="1820345370">
      <w:bodyDiv w:val="1"/>
      <w:marLeft w:val="0"/>
      <w:marRight w:val="0"/>
      <w:marTop w:val="0"/>
      <w:marBottom w:val="0"/>
      <w:divBdr>
        <w:top w:val="none" w:sz="0" w:space="0" w:color="auto"/>
        <w:left w:val="none" w:sz="0" w:space="0" w:color="auto"/>
        <w:bottom w:val="none" w:sz="0" w:space="0" w:color="auto"/>
        <w:right w:val="none" w:sz="0" w:space="0" w:color="auto"/>
      </w:divBdr>
    </w:div>
    <w:div w:id="1890727290">
      <w:bodyDiv w:val="1"/>
      <w:marLeft w:val="0"/>
      <w:marRight w:val="0"/>
      <w:marTop w:val="0"/>
      <w:marBottom w:val="0"/>
      <w:divBdr>
        <w:top w:val="none" w:sz="0" w:space="0" w:color="auto"/>
        <w:left w:val="none" w:sz="0" w:space="0" w:color="auto"/>
        <w:bottom w:val="none" w:sz="0" w:space="0" w:color="auto"/>
        <w:right w:val="none" w:sz="0" w:space="0" w:color="auto"/>
      </w:divBdr>
    </w:div>
    <w:div w:id="1927615957">
      <w:bodyDiv w:val="1"/>
      <w:marLeft w:val="0"/>
      <w:marRight w:val="0"/>
      <w:marTop w:val="0"/>
      <w:marBottom w:val="0"/>
      <w:divBdr>
        <w:top w:val="none" w:sz="0" w:space="0" w:color="auto"/>
        <w:left w:val="none" w:sz="0" w:space="0" w:color="auto"/>
        <w:bottom w:val="none" w:sz="0" w:space="0" w:color="auto"/>
        <w:right w:val="none" w:sz="0" w:space="0" w:color="auto"/>
      </w:divBdr>
    </w:div>
    <w:div w:id="1941788581">
      <w:bodyDiv w:val="1"/>
      <w:marLeft w:val="0"/>
      <w:marRight w:val="0"/>
      <w:marTop w:val="0"/>
      <w:marBottom w:val="0"/>
      <w:divBdr>
        <w:top w:val="none" w:sz="0" w:space="0" w:color="auto"/>
        <w:left w:val="none" w:sz="0" w:space="0" w:color="auto"/>
        <w:bottom w:val="none" w:sz="0" w:space="0" w:color="auto"/>
        <w:right w:val="none" w:sz="0" w:space="0" w:color="auto"/>
      </w:divBdr>
    </w:div>
    <w:div w:id="1996491545">
      <w:bodyDiv w:val="1"/>
      <w:marLeft w:val="0"/>
      <w:marRight w:val="0"/>
      <w:marTop w:val="0"/>
      <w:marBottom w:val="0"/>
      <w:divBdr>
        <w:top w:val="none" w:sz="0" w:space="0" w:color="auto"/>
        <w:left w:val="none" w:sz="0" w:space="0" w:color="auto"/>
        <w:bottom w:val="none" w:sz="0" w:space="0" w:color="auto"/>
        <w:right w:val="none" w:sz="0" w:space="0" w:color="auto"/>
      </w:divBdr>
    </w:div>
    <w:div w:id="2012296898">
      <w:bodyDiv w:val="1"/>
      <w:marLeft w:val="0"/>
      <w:marRight w:val="0"/>
      <w:marTop w:val="0"/>
      <w:marBottom w:val="0"/>
      <w:divBdr>
        <w:top w:val="none" w:sz="0" w:space="0" w:color="auto"/>
        <w:left w:val="none" w:sz="0" w:space="0" w:color="auto"/>
        <w:bottom w:val="none" w:sz="0" w:space="0" w:color="auto"/>
        <w:right w:val="none" w:sz="0" w:space="0" w:color="auto"/>
      </w:divBdr>
    </w:div>
    <w:div w:id="2043090499">
      <w:bodyDiv w:val="1"/>
      <w:marLeft w:val="0"/>
      <w:marRight w:val="0"/>
      <w:marTop w:val="0"/>
      <w:marBottom w:val="0"/>
      <w:divBdr>
        <w:top w:val="none" w:sz="0" w:space="0" w:color="auto"/>
        <w:left w:val="none" w:sz="0" w:space="0" w:color="auto"/>
        <w:bottom w:val="none" w:sz="0" w:space="0" w:color="auto"/>
        <w:right w:val="none" w:sz="0" w:space="0" w:color="auto"/>
      </w:divBdr>
    </w:div>
    <w:div w:id="2057467709">
      <w:bodyDiv w:val="1"/>
      <w:marLeft w:val="0"/>
      <w:marRight w:val="0"/>
      <w:marTop w:val="0"/>
      <w:marBottom w:val="0"/>
      <w:divBdr>
        <w:top w:val="none" w:sz="0" w:space="0" w:color="auto"/>
        <w:left w:val="none" w:sz="0" w:space="0" w:color="auto"/>
        <w:bottom w:val="none" w:sz="0" w:space="0" w:color="auto"/>
        <w:right w:val="none" w:sz="0" w:space="0" w:color="auto"/>
      </w:divBdr>
    </w:div>
    <w:div w:id="2070109787">
      <w:bodyDiv w:val="1"/>
      <w:marLeft w:val="0"/>
      <w:marRight w:val="0"/>
      <w:marTop w:val="0"/>
      <w:marBottom w:val="0"/>
      <w:divBdr>
        <w:top w:val="none" w:sz="0" w:space="0" w:color="auto"/>
        <w:left w:val="none" w:sz="0" w:space="0" w:color="auto"/>
        <w:bottom w:val="none" w:sz="0" w:space="0" w:color="auto"/>
        <w:right w:val="none" w:sz="0" w:space="0" w:color="auto"/>
      </w:divBdr>
    </w:div>
    <w:div w:id="2099136917">
      <w:bodyDiv w:val="1"/>
      <w:marLeft w:val="0"/>
      <w:marRight w:val="0"/>
      <w:marTop w:val="0"/>
      <w:marBottom w:val="0"/>
      <w:divBdr>
        <w:top w:val="none" w:sz="0" w:space="0" w:color="auto"/>
        <w:left w:val="none" w:sz="0" w:space="0" w:color="auto"/>
        <w:bottom w:val="none" w:sz="0" w:space="0" w:color="auto"/>
        <w:right w:val="none" w:sz="0" w:space="0" w:color="auto"/>
      </w:divBdr>
    </w:div>
    <w:div w:id="21184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F8847-6D8C-44B9-88B4-F82C68DE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1308</Words>
  <Characters>7850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9140</CharactersWithSpaces>
  <SharedDoc>false</SharedDoc>
  <HLinks>
    <vt:vector size="6" baseType="variant">
      <vt:variant>
        <vt:i4>7471165</vt:i4>
      </vt:variant>
      <vt:variant>
        <vt:i4>0</vt:i4>
      </vt:variant>
      <vt:variant>
        <vt:i4>0</vt:i4>
      </vt:variant>
      <vt:variant>
        <vt:i4>5</vt:i4>
      </vt:variant>
      <vt:variant>
        <vt:lpwstr>https://thegreenman.group/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dc:description/>
  <cp:lastModifiedBy>Tomasz Pietrzak</cp:lastModifiedBy>
  <cp:revision>3</cp:revision>
  <dcterms:created xsi:type="dcterms:W3CDTF">2024-11-26T10:46:00Z</dcterms:created>
  <dcterms:modified xsi:type="dcterms:W3CDTF">2024-11-26T15:00:00Z</dcterms:modified>
</cp:coreProperties>
</file>