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18FA63F3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3CA2175D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EB74D4">
        <w:rPr>
          <w:rFonts w:ascii="Arial" w:hAnsi="Arial" w:cs="Arial"/>
          <w:sz w:val="18"/>
          <w:szCs w:val="18"/>
        </w:rPr>
        <w:t>23</w:t>
      </w:r>
      <w:r w:rsidRPr="00570D3B">
        <w:rPr>
          <w:rFonts w:ascii="Arial" w:hAnsi="Arial" w:cs="Arial"/>
          <w:sz w:val="18"/>
          <w:szCs w:val="18"/>
        </w:rPr>
        <w:t>-</w:t>
      </w:r>
      <w:r w:rsidR="007F33E6">
        <w:rPr>
          <w:rFonts w:ascii="Arial" w:hAnsi="Arial" w:cs="Arial"/>
          <w:sz w:val="18"/>
          <w:szCs w:val="18"/>
        </w:rPr>
        <w:t>09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80C0DA5" w14:textId="77777777" w:rsidR="000D48B9" w:rsidRPr="00570D3B" w:rsidRDefault="000D48B9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1BF4DE93" w14:textId="23101F96" w:rsidR="008F093C" w:rsidRDefault="00B24B95" w:rsidP="008F093C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BC2DA7">
        <w:rPr>
          <w:rFonts w:ascii="Arial" w:hAnsi="Arial" w:cs="Arial"/>
          <w:b/>
          <w:bCs/>
          <w:sz w:val="26"/>
          <w:szCs w:val="26"/>
        </w:rPr>
        <w:t xml:space="preserve">Portfolio </w:t>
      </w:r>
      <w:r w:rsidR="008F093C" w:rsidRPr="00BC2DA7">
        <w:rPr>
          <w:rFonts w:ascii="Arial" w:hAnsi="Arial" w:cs="Arial"/>
          <w:b/>
          <w:bCs/>
          <w:sz w:val="26"/>
          <w:szCs w:val="26"/>
        </w:rPr>
        <w:t xml:space="preserve">Greenman Poland </w:t>
      </w:r>
      <w:r w:rsidR="00F93614">
        <w:rPr>
          <w:rFonts w:ascii="Arial" w:hAnsi="Arial" w:cs="Arial"/>
          <w:b/>
          <w:bCs/>
          <w:sz w:val="26"/>
          <w:szCs w:val="26"/>
        </w:rPr>
        <w:t>w</w:t>
      </w:r>
      <w:r w:rsidR="00785A30">
        <w:rPr>
          <w:rFonts w:ascii="Arial" w:hAnsi="Arial" w:cs="Arial"/>
          <w:b/>
          <w:bCs/>
          <w:sz w:val="26"/>
          <w:szCs w:val="26"/>
        </w:rPr>
        <w:t>z</w:t>
      </w:r>
      <w:r w:rsidRPr="00BC2DA7">
        <w:rPr>
          <w:rFonts w:ascii="Arial" w:hAnsi="Arial" w:cs="Arial"/>
          <w:b/>
          <w:bCs/>
          <w:sz w:val="26"/>
          <w:szCs w:val="26"/>
        </w:rPr>
        <w:t xml:space="preserve">macnia ofertę handlową </w:t>
      </w:r>
    </w:p>
    <w:p w14:paraId="092D1F54" w14:textId="77777777" w:rsidR="00967EA3" w:rsidRDefault="00967EA3" w:rsidP="008F093C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0AB5FE01" w14:textId="42E0BE90" w:rsidR="00785A30" w:rsidRPr="00785A30" w:rsidRDefault="00785A30" w:rsidP="00785A3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85A30">
        <w:rPr>
          <w:rFonts w:ascii="Arial" w:hAnsi="Arial" w:cs="Arial"/>
          <w:b/>
          <w:bCs/>
          <w:sz w:val="20"/>
          <w:szCs w:val="20"/>
        </w:rPr>
        <w:t>Centra handlowe i retail parki z portfolio Greenman Poland wzmacniają swoją ofertę. Tylko od czerwca do września br. dział leasingu ogłosił aż 18 przedłużonych umów z wieloletnimi partnerami biznesowymi oraz 3 nowe umowy. W efekcie poziom komercjalizacji zbliża się już do 100</w:t>
      </w:r>
      <w:r>
        <w:rPr>
          <w:rFonts w:ascii="Arial" w:hAnsi="Arial" w:cs="Arial"/>
          <w:b/>
          <w:bCs/>
          <w:sz w:val="20"/>
          <w:szCs w:val="20"/>
        </w:rPr>
        <w:t xml:space="preserve"> proc.</w:t>
      </w:r>
    </w:p>
    <w:p w14:paraId="02DE1C65" w14:textId="77777777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06A8A3" w14:textId="77777777" w:rsid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>– Za nami bardzo intensywny i owocny okres dla działu wynajmu Greenman Poland. Fakt, że w tak krótkim czasie ogłosiliśmy aneksy obejmujące aż 5,5 tys. m</w:t>
      </w:r>
      <w:r>
        <w:rPr>
          <w:rFonts w:ascii="Arial" w:hAnsi="Arial" w:cs="Arial"/>
          <w:sz w:val="20"/>
          <w:szCs w:val="20"/>
        </w:rPr>
        <w:t xml:space="preserve"> kw.</w:t>
      </w:r>
      <w:r w:rsidRPr="00785A30">
        <w:rPr>
          <w:rFonts w:ascii="Arial" w:hAnsi="Arial" w:cs="Arial"/>
          <w:sz w:val="20"/>
          <w:szCs w:val="20"/>
        </w:rPr>
        <w:t xml:space="preserve">, jest tego najlepszym dowodem. Co więcej, centra i parki handlowe przyciągają nowe marki, w tym unikalne koncepty i liderów rynkowych – </w:t>
      </w:r>
      <w:r w:rsidRPr="00785A30">
        <w:rPr>
          <w:rFonts w:ascii="Arial" w:hAnsi="Arial" w:cs="Arial"/>
          <w:b/>
          <w:bCs/>
          <w:sz w:val="20"/>
          <w:szCs w:val="20"/>
        </w:rPr>
        <w:t>mówi Karolina Nitowska, Leasing Director w Greenman Poland.</w:t>
      </w:r>
      <w:r w:rsidRPr="00785A30">
        <w:rPr>
          <w:rFonts w:ascii="Arial" w:hAnsi="Arial" w:cs="Arial"/>
          <w:sz w:val="20"/>
          <w:szCs w:val="20"/>
        </w:rPr>
        <w:t xml:space="preserve"> </w:t>
      </w:r>
    </w:p>
    <w:p w14:paraId="3F5A49C9" w14:textId="77777777" w:rsid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F412BB" w14:textId="10353DD0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</w:t>
      </w:r>
      <w:r w:rsidRPr="00785A30">
        <w:rPr>
          <w:rFonts w:ascii="Arial" w:hAnsi="Arial" w:cs="Arial"/>
          <w:sz w:val="20"/>
          <w:szCs w:val="20"/>
        </w:rPr>
        <w:t>Uwagę rynku zwracają m.in. modernizacje, jakie przeprowadziliśmy w Nowych Bielawach, Nowych Czyżynach i Nowej Górnej, jak również dwie rozbudowy, które objęły centra w Łodzi i Toruniu. Nie bez znaczenia są również obroty, jakie osiągają u nas najemcy, silna lokalna pozycja centrów i retail parków oraz autorski model convenience, w którym rozwija się każdy z naszych obiektów – dodaje.</w:t>
      </w:r>
    </w:p>
    <w:p w14:paraId="377F40B7" w14:textId="77777777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525240" w14:textId="77777777" w:rsid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 xml:space="preserve">W rezultacie klienci Nowych Czyżyn nadal będą mogli odwiedzać lokale Kodano, Domino’s Pizza, Orange, SFD, Czas Na Herbatę, Play oraz CCC. Ta ostatnia marka przedłużyła umowy we wszystkich trzech centrach z portfolio, tj. Nowej Górnej, Nowych Czyżynach i Nowych Bielawach. Lokale te czeka również remodeling do najnowszego konceptu marki. </w:t>
      </w:r>
    </w:p>
    <w:p w14:paraId="1C8ED109" w14:textId="77777777" w:rsid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E2807A" w14:textId="702A29B4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>Ponadto w Nowych Bielawach wciąż obecne będą marki: Kodano, Bialcon, Play oraz Douglas, który przymierza się do odświeżenia lokalu. Po remoncie, na większej powierzchni, w toruńskim centrum działa już natomiast Rossmann. Play i mBank będą kontynuować swoją działalność w Nowej Górnej. Kluczowi najemcy Parku Handlowego Włocławek – Martes Sport oraz Media Expert – również zdecydowali się na przedłużenie swoich umów.</w:t>
      </w:r>
    </w:p>
    <w:p w14:paraId="3767938D" w14:textId="77777777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5C0677" w14:textId="77777777" w:rsid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 xml:space="preserve">– Koncepty, które podpisały aneksy, reprezentują różne segmenty oferty, co najlepiej pokazuje, jak zróżnicowany jest </w:t>
      </w:r>
      <w:r>
        <w:rPr>
          <w:rFonts w:ascii="Arial" w:hAnsi="Arial" w:cs="Arial"/>
          <w:sz w:val="20"/>
          <w:szCs w:val="20"/>
        </w:rPr>
        <w:t>obecnie</w:t>
      </w:r>
      <w:r w:rsidRPr="00785A30">
        <w:rPr>
          <w:rFonts w:ascii="Arial" w:hAnsi="Arial" w:cs="Arial"/>
          <w:sz w:val="20"/>
          <w:szCs w:val="20"/>
        </w:rPr>
        <w:t xml:space="preserve"> tenant-mix obiektów z naszego portfolio. Zależy nam na tym, aby rodziny odwiedzające nasze centra i parki handlowe mogły zaspokoić jak najszersze potrzeby zakupowe – mówi Karolina Nitowska. </w:t>
      </w:r>
    </w:p>
    <w:p w14:paraId="744BE1D8" w14:textId="77777777" w:rsid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9449CA" w14:textId="5526872D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 xml:space="preserve">– Dzięki przedłużeniu współpracy z tak wieloma markami, ten aspekt w naszych obiektach pozostaje niezmieniony. </w:t>
      </w:r>
      <w:r w:rsidR="00200876">
        <w:rPr>
          <w:rFonts w:ascii="Arial" w:hAnsi="Arial" w:cs="Arial"/>
          <w:sz w:val="20"/>
          <w:szCs w:val="20"/>
        </w:rPr>
        <w:t>Oferta zyskuje także dodatkowo. C</w:t>
      </w:r>
      <w:r w:rsidRPr="00785A30">
        <w:rPr>
          <w:rFonts w:ascii="Arial" w:hAnsi="Arial" w:cs="Arial"/>
          <w:sz w:val="20"/>
          <w:szCs w:val="20"/>
        </w:rPr>
        <w:t>oraz więcej naszych partnerów decyduje się bowiem na wprowadzenie nowych konceptów swoich sklepów, a co za tym idzie, również na poszerzenie oferty. CCC, Rossmann i Douglas są tego doskonałym przykładem – dodaje.</w:t>
      </w:r>
    </w:p>
    <w:p w14:paraId="22DF7B63" w14:textId="77777777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8D56DC" w14:textId="02FB6075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 xml:space="preserve">Potencjał portfolio Greenman Poland dostrzegają </w:t>
      </w:r>
      <w:r w:rsidR="00200876">
        <w:rPr>
          <w:rFonts w:ascii="Arial" w:hAnsi="Arial" w:cs="Arial"/>
          <w:sz w:val="20"/>
          <w:szCs w:val="20"/>
        </w:rPr>
        <w:t xml:space="preserve">też </w:t>
      </w:r>
      <w:r w:rsidRPr="00785A30">
        <w:rPr>
          <w:rFonts w:ascii="Arial" w:hAnsi="Arial" w:cs="Arial"/>
          <w:sz w:val="20"/>
          <w:szCs w:val="20"/>
        </w:rPr>
        <w:t xml:space="preserve">kolejne sieci handlowe. Tylko w ostatnich miesiącach dział leasingu poinformował o podpisaniu </w:t>
      </w:r>
      <w:r w:rsidR="00200876">
        <w:rPr>
          <w:rFonts w:ascii="Arial" w:hAnsi="Arial" w:cs="Arial"/>
          <w:sz w:val="20"/>
          <w:szCs w:val="20"/>
        </w:rPr>
        <w:t>3</w:t>
      </w:r>
      <w:r w:rsidRPr="00785A30">
        <w:rPr>
          <w:rFonts w:ascii="Arial" w:hAnsi="Arial" w:cs="Arial"/>
          <w:sz w:val="20"/>
          <w:szCs w:val="20"/>
        </w:rPr>
        <w:t xml:space="preserve"> nowych umów najmu. Już niebawem w Nowych Bielawach zadebiutuje najnowszy salon Empik</w:t>
      </w:r>
      <w:r w:rsidR="00200876">
        <w:rPr>
          <w:rFonts w:ascii="Arial" w:hAnsi="Arial" w:cs="Arial"/>
          <w:sz w:val="20"/>
          <w:szCs w:val="20"/>
        </w:rPr>
        <w:t>. Oprócz tego w</w:t>
      </w:r>
      <w:r w:rsidRPr="00785A30">
        <w:rPr>
          <w:rFonts w:ascii="Arial" w:hAnsi="Arial" w:cs="Arial"/>
          <w:sz w:val="20"/>
          <w:szCs w:val="20"/>
        </w:rPr>
        <w:t xml:space="preserve"> Toruniu klienci będą mogli skorzystać z oferty sieci CUK Ubezpieczenia. Nowości szykują się też w ofercie Nowych Czyżyn, gdzie w listopadzie pojawi się Lajkonik Piekarnie i Kawiarnie, który poza lokalem zdecydował się na otwarcie w obiekcie również wyspy handlowej.</w:t>
      </w:r>
    </w:p>
    <w:p w14:paraId="334A2438" w14:textId="77777777" w:rsidR="00785A30" w:rsidRPr="00785A30" w:rsidRDefault="00785A30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70FC30" w14:textId="77777777" w:rsidR="00200876" w:rsidRDefault="00200876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85A30">
        <w:rPr>
          <w:rFonts w:ascii="Arial" w:hAnsi="Arial" w:cs="Arial"/>
          <w:sz w:val="20"/>
          <w:szCs w:val="20"/>
        </w:rPr>
        <w:t xml:space="preserve">– </w:t>
      </w:r>
      <w:r w:rsidR="00785A30" w:rsidRPr="00785A30">
        <w:rPr>
          <w:rFonts w:ascii="Arial" w:hAnsi="Arial" w:cs="Arial"/>
          <w:sz w:val="20"/>
          <w:szCs w:val="20"/>
        </w:rPr>
        <w:t>Rozwijając ofertę centrów, skupiamy się na markach, które dopełniają kluczowe kategorie, a także wnoszą do tenant-mixu unikalną lokalnie propozycję. Stawiamy jednocześnie na współpracę z brandami, których oczekują nasi klienci. Kierujemy się przy tym potrzebami rynku, uważnie analizując trendy zakupowe. W rezultacie tworzymy centra, które współgrają z oczekiwaniami konsumentów i dla wielu z nich są destynacją nr 1 na codzienne zakupy</w:t>
      </w:r>
      <w:r>
        <w:rPr>
          <w:rFonts w:ascii="Arial" w:hAnsi="Arial" w:cs="Arial"/>
          <w:sz w:val="20"/>
          <w:szCs w:val="20"/>
        </w:rPr>
        <w:t xml:space="preserve"> </w:t>
      </w:r>
      <w:r w:rsidR="00785A30" w:rsidRPr="00785A30">
        <w:rPr>
          <w:rFonts w:ascii="Arial" w:hAnsi="Arial" w:cs="Arial"/>
          <w:sz w:val="20"/>
          <w:szCs w:val="20"/>
        </w:rPr>
        <w:t xml:space="preserve">– mówi Karolina Nitowska. </w:t>
      </w:r>
    </w:p>
    <w:p w14:paraId="29755CF0" w14:textId="77777777" w:rsidR="00200876" w:rsidRDefault="00200876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5C3A35" w14:textId="5C436AFD" w:rsidR="00785A30" w:rsidRPr="00785A30" w:rsidRDefault="00200876" w:rsidP="00785A3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Jak zapewnia Karolina Nitowska, to jednak nie koniec zmian. </w:t>
      </w:r>
      <w:r w:rsidRPr="00785A30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P</w:t>
      </w:r>
      <w:r w:rsidR="00785A30" w:rsidRPr="00785A30">
        <w:rPr>
          <w:rFonts w:ascii="Arial" w:hAnsi="Arial" w:cs="Arial"/>
          <w:sz w:val="20"/>
          <w:szCs w:val="20"/>
        </w:rPr>
        <w:t>rowadzimy obecnie zaawansowane rozmowy z kolejnymi najemcami, którzy na początku 2025 roku zawitają do naszych obiektów. Kilka brandów przygotowuje się do remontów, wprowadzenia najnowszych konceptów czy powiększenia swojego lokalu. Kontynuujemy</w:t>
      </w:r>
      <w:r>
        <w:rPr>
          <w:rFonts w:ascii="Arial" w:hAnsi="Arial" w:cs="Arial"/>
          <w:sz w:val="20"/>
          <w:szCs w:val="20"/>
        </w:rPr>
        <w:t xml:space="preserve"> więc</w:t>
      </w:r>
      <w:r w:rsidR="00785A30" w:rsidRPr="00785A30">
        <w:rPr>
          <w:rFonts w:ascii="Arial" w:hAnsi="Arial" w:cs="Arial"/>
          <w:sz w:val="20"/>
          <w:szCs w:val="20"/>
        </w:rPr>
        <w:t xml:space="preserve"> rozwój </w:t>
      </w:r>
      <w:r>
        <w:rPr>
          <w:rFonts w:ascii="Arial" w:hAnsi="Arial" w:cs="Arial"/>
          <w:sz w:val="20"/>
          <w:szCs w:val="20"/>
        </w:rPr>
        <w:t>miksu najemców</w:t>
      </w:r>
      <w:r w:rsidR="00785A30" w:rsidRPr="00785A30">
        <w:rPr>
          <w:rFonts w:ascii="Arial" w:hAnsi="Arial" w:cs="Arial"/>
          <w:sz w:val="20"/>
          <w:szCs w:val="20"/>
        </w:rPr>
        <w:t>, a to sprawia, że coraz bliżej jesteśmy 100</w:t>
      </w:r>
      <w:r>
        <w:rPr>
          <w:rFonts w:ascii="Arial" w:hAnsi="Arial" w:cs="Arial"/>
          <w:sz w:val="20"/>
          <w:szCs w:val="20"/>
        </w:rPr>
        <w:t xml:space="preserve"> proc. </w:t>
      </w:r>
      <w:r w:rsidR="00785A30" w:rsidRPr="00785A30">
        <w:rPr>
          <w:rFonts w:ascii="Arial" w:hAnsi="Arial" w:cs="Arial"/>
          <w:sz w:val="20"/>
          <w:szCs w:val="20"/>
        </w:rPr>
        <w:t>komercjalizacji w całym portfolio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331D021" w14:textId="77777777" w:rsidR="00785A30" w:rsidRPr="00785A30" w:rsidRDefault="00785A30" w:rsidP="00785A30">
      <w:pPr>
        <w:pStyle w:val="Bezodstpw"/>
        <w:jc w:val="both"/>
        <w:rPr>
          <w:rFonts w:ascii="Arial" w:hAnsi="Arial" w:cs="Arial"/>
          <w:b/>
          <w:bCs/>
        </w:rPr>
      </w:pPr>
    </w:p>
    <w:p w14:paraId="391370FE" w14:textId="16F8FC7F" w:rsidR="00E839F1" w:rsidRPr="00967EA3" w:rsidRDefault="00E839F1" w:rsidP="00BC2DA7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 w:rsidRPr="00967EA3">
        <w:rPr>
          <w:rFonts w:ascii="Arial" w:hAnsi="Arial" w:cs="Arial"/>
          <w:sz w:val="18"/>
          <w:szCs w:val="18"/>
          <w:lang w:val="en-US"/>
        </w:rPr>
        <w:t>źródło</w:t>
      </w:r>
      <w:proofErr w:type="spellEnd"/>
      <w:r w:rsidRPr="00967EA3">
        <w:rPr>
          <w:rFonts w:ascii="Arial" w:hAnsi="Arial" w:cs="Arial"/>
          <w:sz w:val="18"/>
          <w:szCs w:val="18"/>
          <w:lang w:val="en-US"/>
        </w:rPr>
        <w:t>: Greenman Poland/Guarana PR</w:t>
      </w:r>
    </w:p>
    <w:p w14:paraId="26160A0E" w14:textId="77777777" w:rsidR="00771DED" w:rsidRPr="00967EA3" w:rsidRDefault="00771DED" w:rsidP="00771DED">
      <w:pPr>
        <w:pStyle w:val="Bezodstpw"/>
        <w:rPr>
          <w:rFonts w:ascii="Arial" w:hAnsi="Arial" w:cs="Arial"/>
          <w:sz w:val="20"/>
          <w:szCs w:val="20"/>
          <w:lang w:val="en-US"/>
        </w:rPr>
      </w:pPr>
    </w:p>
    <w:p w14:paraId="3019CD4D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68E5BFAA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52C1B989" w14:textId="77777777" w:rsidR="009A3CBB" w:rsidRPr="00967EA3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  <w:lang w:val="en-US"/>
        </w:rPr>
      </w:pPr>
      <w:r w:rsidRPr="00967EA3">
        <w:rPr>
          <w:rFonts w:ascii="Arial" w:hAnsi="Arial" w:cs="Arial"/>
          <w:color w:val="000000"/>
          <w:sz w:val="16"/>
          <w:szCs w:val="16"/>
          <w:shd w:val="clear" w:color="auto" w:fill="FFFFFF"/>
          <w:lang w:val="en-US"/>
        </w:rPr>
        <w:t>***</w:t>
      </w:r>
      <w:r w:rsidRPr="00967EA3">
        <w:rPr>
          <w:rFonts w:ascii="Arial" w:hAnsi="Arial" w:cs="Arial"/>
          <w:color w:val="000000"/>
          <w:sz w:val="16"/>
          <w:szCs w:val="16"/>
          <w:shd w:val="clear" w:color="auto" w:fill="FFFFFF"/>
          <w:lang w:val="en-US"/>
        </w:rPr>
        <w:tab/>
      </w:r>
    </w:p>
    <w:p w14:paraId="6CF7AF55" w14:textId="0C75C135" w:rsidR="009A3CBB" w:rsidRPr="003C14B3" w:rsidRDefault="009A3CBB" w:rsidP="009A3CBB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14B3">
        <w:rPr>
          <w:rFonts w:ascii="Arial" w:hAnsi="Arial" w:cs="Arial"/>
          <w:b/>
          <w:color w:val="808080" w:themeColor="background1" w:themeShade="80"/>
          <w:sz w:val="16"/>
          <w:szCs w:val="16"/>
        </w:rPr>
        <w:t>Centrum Nowe Czyżyny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</w:rPr>
        <w:t xml:space="preserve"> zlokalizowane jest w Krakowie przy ul. Medweckiego 2. Otwarty w 2002 roku obiekt ma powierzchnię 31 tys. m kw. GLA i liczy sobie 77 sklepów, restauracji i punktów usługowych. Wśród kluczowych najemców znaleźć można m.in. Carrefour, Leroy Merlin, Jysk, RTV Euro AGD, home&amp;you, Douglas, Rossmann, Big Star, Pepco, KFC i CCC. Zmotoryzowani mają tutaj do dyspozycji ponad 850 miejsc postojowych</w:t>
      </w:r>
      <w:r w:rsidR="003C14B3" w:rsidRPr="003C14B3">
        <w:rPr>
          <w:rFonts w:ascii="Arial" w:hAnsi="Arial" w:cs="Arial"/>
          <w:color w:val="808080" w:themeColor="background1" w:themeShade="80"/>
          <w:sz w:val="16"/>
          <w:szCs w:val="16"/>
        </w:rPr>
        <w:t>.</w:t>
      </w:r>
    </w:p>
    <w:p w14:paraId="750E45AA" w14:textId="77777777" w:rsidR="009A3CBB" w:rsidRPr="003C14B3" w:rsidRDefault="009A3CBB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3F937947" w14:textId="429835D9" w:rsidR="009A3CBB" w:rsidRPr="003C14B3" w:rsidRDefault="009A3CBB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14B3">
        <w:rPr>
          <w:rFonts w:ascii="Arial" w:hAnsi="Arial" w:cs="Arial"/>
          <w:b/>
          <w:bCs/>
          <w:color w:val="808080" w:themeColor="background1" w:themeShade="80"/>
          <w:sz w:val="16"/>
          <w:szCs w:val="16"/>
          <w:lang w:eastAsia="pl-PL"/>
        </w:rPr>
        <w:t>Centrum Nowe Bielawy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67F69526" w14:textId="77777777" w:rsidR="003C14B3" w:rsidRPr="003C14B3" w:rsidRDefault="003C14B3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6C44CBE" w14:textId="77777777" w:rsidR="003C14B3" w:rsidRPr="003C14B3" w:rsidRDefault="003C14B3" w:rsidP="0081135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14B3">
        <w:rPr>
          <w:rFonts w:ascii="Arial" w:hAnsi="Arial" w:cs="Arial"/>
          <w:b/>
          <w:color w:val="808080" w:themeColor="background1" w:themeShade="80"/>
          <w:sz w:val="16"/>
          <w:szCs w:val="16"/>
        </w:rPr>
        <w:t xml:space="preserve">Centrum Nowa Górna 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</w:rPr>
        <w:t>zlokalizowane jest w Łodzi przy ul. Kolumny 6/36. Otwarty w 1997 roku obiekt ma powierzchnię ponad 18 tys. m kw. GLA i liczy sobie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5D38EF0B" w14:textId="77777777" w:rsidR="003C14B3" w:rsidRPr="003C14B3" w:rsidRDefault="003C14B3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4D4D9C71" w14:textId="77777777" w:rsidR="009A3CBB" w:rsidRPr="003C14B3" w:rsidRDefault="009A3CBB" w:rsidP="00E57A4F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5CE671A" w14:textId="77777777" w:rsidR="00DD3069" w:rsidRPr="003C14B3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3C14B3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Poland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Spar</w:t>
      </w:r>
      <w:proofErr w:type="spellEnd"/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.</w:t>
      </w:r>
    </w:p>
    <w:p w14:paraId="704398EB" w14:textId="77777777" w:rsidR="00DD3069" w:rsidRPr="003C14B3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7872E260" w14:textId="158FDD99" w:rsidR="00DD3069" w:rsidRPr="003C14B3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Greenman Poland jest częścią </w:t>
      </w:r>
      <w:r w:rsidRPr="003C14B3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Group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w Irlandii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3C14B3" w:rsidRDefault="009C13DF" w:rsidP="008D0A85">
      <w:pPr>
        <w:pStyle w:val="Bezodstpw"/>
        <w:rPr>
          <w:rStyle w:val="Pogrubienie"/>
          <w:rFonts w:ascii="Arial" w:hAnsi="Arial" w:cs="Arial"/>
          <w:color w:val="808080" w:themeColor="background1" w:themeShade="80"/>
          <w:sz w:val="16"/>
          <w:szCs w:val="16"/>
        </w:rPr>
      </w:pPr>
    </w:p>
    <w:p w14:paraId="14F6F9D6" w14:textId="77777777" w:rsidR="002723AC" w:rsidRPr="003C14B3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808080" w:themeColor="background1" w:themeShade="80"/>
          <w:sz w:val="16"/>
          <w:szCs w:val="16"/>
        </w:rPr>
      </w:pPr>
    </w:p>
    <w:sectPr w:rsidR="002723AC" w:rsidRPr="003C14B3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B230C" w14:textId="77777777" w:rsidR="007427ED" w:rsidRDefault="007427ED" w:rsidP="002723AC">
      <w:pPr>
        <w:spacing w:after="0" w:line="240" w:lineRule="auto"/>
      </w:pPr>
      <w:r>
        <w:separator/>
      </w:r>
    </w:p>
  </w:endnote>
  <w:endnote w:type="continuationSeparator" w:id="0">
    <w:p w14:paraId="701E730A" w14:textId="77777777" w:rsidR="007427ED" w:rsidRDefault="007427ED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91D5B" w14:textId="77777777" w:rsidR="007427ED" w:rsidRDefault="007427ED" w:rsidP="002723AC">
      <w:pPr>
        <w:spacing w:after="0" w:line="240" w:lineRule="auto"/>
      </w:pPr>
      <w:r>
        <w:separator/>
      </w:r>
    </w:p>
  </w:footnote>
  <w:footnote w:type="continuationSeparator" w:id="0">
    <w:p w14:paraId="011709AD" w14:textId="77777777" w:rsidR="007427ED" w:rsidRDefault="007427ED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116CD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02D"/>
    <w:rsid w:val="001432E1"/>
    <w:rsid w:val="0014477B"/>
    <w:rsid w:val="00145355"/>
    <w:rsid w:val="00145FE9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2EA"/>
    <w:rsid w:val="00174328"/>
    <w:rsid w:val="00181676"/>
    <w:rsid w:val="00181931"/>
    <w:rsid w:val="001825AF"/>
    <w:rsid w:val="00183B72"/>
    <w:rsid w:val="00185843"/>
    <w:rsid w:val="0018610B"/>
    <w:rsid w:val="00186187"/>
    <w:rsid w:val="0019391B"/>
    <w:rsid w:val="001944CC"/>
    <w:rsid w:val="001A1B05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AC2"/>
    <w:rsid w:val="001E015F"/>
    <w:rsid w:val="001E39B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69"/>
    <w:rsid w:val="00212165"/>
    <w:rsid w:val="00212654"/>
    <w:rsid w:val="00212BC0"/>
    <w:rsid w:val="00213186"/>
    <w:rsid w:val="002145E1"/>
    <w:rsid w:val="00215DDF"/>
    <w:rsid w:val="002168C6"/>
    <w:rsid w:val="002168F7"/>
    <w:rsid w:val="00216B68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5013"/>
    <w:rsid w:val="00235045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1E89"/>
    <w:rsid w:val="002923CF"/>
    <w:rsid w:val="00292F28"/>
    <w:rsid w:val="002944C2"/>
    <w:rsid w:val="00295B83"/>
    <w:rsid w:val="00296A5D"/>
    <w:rsid w:val="002A4942"/>
    <w:rsid w:val="002A4EE0"/>
    <w:rsid w:val="002A4F07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6A4F"/>
    <w:rsid w:val="002D2701"/>
    <w:rsid w:val="002D2809"/>
    <w:rsid w:val="002D3940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34C"/>
    <w:rsid w:val="003228C4"/>
    <w:rsid w:val="00324F7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4B3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5329"/>
    <w:rsid w:val="004006E0"/>
    <w:rsid w:val="00405666"/>
    <w:rsid w:val="00406448"/>
    <w:rsid w:val="004064C4"/>
    <w:rsid w:val="00407450"/>
    <w:rsid w:val="00411A3C"/>
    <w:rsid w:val="00412057"/>
    <w:rsid w:val="0041268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3AAE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961"/>
    <w:rsid w:val="00476EFA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2B99"/>
    <w:rsid w:val="004D3B34"/>
    <w:rsid w:val="004D3DA0"/>
    <w:rsid w:val="004D4AA5"/>
    <w:rsid w:val="004D5075"/>
    <w:rsid w:val="004D6649"/>
    <w:rsid w:val="004D6A4E"/>
    <w:rsid w:val="004D6D08"/>
    <w:rsid w:val="004D6F3B"/>
    <w:rsid w:val="004D7AEE"/>
    <w:rsid w:val="004D7B4C"/>
    <w:rsid w:val="004E0C35"/>
    <w:rsid w:val="004E312B"/>
    <w:rsid w:val="004E3CF4"/>
    <w:rsid w:val="004F1F7C"/>
    <w:rsid w:val="004F2DDF"/>
    <w:rsid w:val="004F66D9"/>
    <w:rsid w:val="004F7298"/>
    <w:rsid w:val="00500369"/>
    <w:rsid w:val="0050131D"/>
    <w:rsid w:val="005038A8"/>
    <w:rsid w:val="0050392C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2326"/>
    <w:rsid w:val="00523A39"/>
    <w:rsid w:val="00524FA7"/>
    <w:rsid w:val="00532370"/>
    <w:rsid w:val="00532C4D"/>
    <w:rsid w:val="005346F9"/>
    <w:rsid w:val="00535069"/>
    <w:rsid w:val="005418BB"/>
    <w:rsid w:val="0054484A"/>
    <w:rsid w:val="00553866"/>
    <w:rsid w:val="0055386D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62A5"/>
    <w:rsid w:val="005878B0"/>
    <w:rsid w:val="00590FD2"/>
    <w:rsid w:val="005925F4"/>
    <w:rsid w:val="00592DD6"/>
    <w:rsid w:val="00596011"/>
    <w:rsid w:val="00597100"/>
    <w:rsid w:val="005A07B0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C066C"/>
    <w:rsid w:val="005C0880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6C02"/>
    <w:rsid w:val="005F009B"/>
    <w:rsid w:val="005F0FCF"/>
    <w:rsid w:val="005F4452"/>
    <w:rsid w:val="005F61D0"/>
    <w:rsid w:val="005F7E89"/>
    <w:rsid w:val="00604A17"/>
    <w:rsid w:val="0060668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278F"/>
    <w:rsid w:val="006630BE"/>
    <w:rsid w:val="0066449F"/>
    <w:rsid w:val="006651B8"/>
    <w:rsid w:val="00670034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1732"/>
    <w:rsid w:val="006A3357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71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E7A40"/>
    <w:rsid w:val="006F010A"/>
    <w:rsid w:val="006F0BF3"/>
    <w:rsid w:val="006F1103"/>
    <w:rsid w:val="006F6C6B"/>
    <w:rsid w:val="006F72E4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37A2"/>
    <w:rsid w:val="00732427"/>
    <w:rsid w:val="00735BA4"/>
    <w:rsid w:val="00735FB8"/>
    <w:rsid w:val="007376A0"/>
    <w:rsid w:val="007377D6"/>
    <w:rsid w:val="0073794C"/>
    <w:rsid w:val="0074159D"/>
    <w:rsid w:val="007427E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3BD1"/>
    <w:rsid w:val="00776997"/>
    <w:rsid w:val="007771F1"/>
    <w:rsid w:val="0077789E"/>
    <w:rsid w:val="0078009F"/>
    <w:rsid w:val="007800FF"/>
    <w:rsid w:val="00780B44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5E8F"/>
    <w:rsid w:val="007B73F7"/>
    <w:rsid w:val="007B7FE4"/>
    <w:rsid w:val="007C40CD"/>
    <w:rsid w:val="007C5ED4"/>
    <w:rsid w:val="007C6C0A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B3F"/>
    <w:rsid w:val="00805209"/>
    <w:rsid w:val="008111CB"/>
    <w:rsid w:val="0081135D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7338D"/>
    <w:rsid w:val="00881843"/>
    <w:rsid w:val="008824C2"/>
    <w:rsid w:val="00886617"/>
    <w:rsid w:val="00886B0B"/>
    <w:rsid w:val="00887ACE"/>
    <w:rsid w:val="00890F9E"/>
    <w:rsid w:val="00892306"/>
    <w:rsid w:val="00892BA3"/>
    <w:rsid w:val="00895A74"/>
    <w:rsid w:val="00897E35"/>
    <w:rsid w:val="008A0158"/>
    <w:rsid w:val="008A33D2"/>
    <w:rsid w:val="008A34D7"/>
    <w:rsid w:val="008A55AB"/>
    <w:rsid w:val="008A7201"/>
    <w:rsid w:val="008B11AF"/>
    <w:rsid w:val="008B45D2"/>
    <w:rsid w:val="008C15B2"/>
    <w:rsid w:val="008C2239"/>
    <w:rsid w:val="008C3E79"/>
    <w:rsid w:val="008C4665"/>
    <w:rsid w:val="008C65AA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F093C"/>
    <w:rsid w:val="008F0E04"/>
    <w:rsid w:val="008F7B3E"/>
    <w:rsid w:val="009032C6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E4D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9B4"/>
    <w:rsid w:val="009773EF"/>
    <w:rsid w:val="00977836"/>
    <w:rsid w:val="009806AD"/>
    <w:rsid w:val="00982AE8"/>
    <w:rsid w:val="009876EC"/>
    <w:rsid w:val="00987EDD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220"/>
    <w:rsid w:val="00A05C43"/>
    <w:rsid w:val="00A0608F"/>
    <w:rsid w:val="00A1059A"/>
    <w:rsid w:val="00A10606"/>
    <w:rsid w:val="00A10D67"/>
    <w:rsid w:val="00A11D0A"/>
    <w:rsid w:val="00A129D7"/>
    <w:rsid w:val="00A13EF7"/>
    <w:rsid w:val="00A15485"/>
    <w:rsid w:val="00A155D5"/>
    <w:rsid w:val="00A169C8"/>
    <w:rsid w:val="00A16CAA"/>
    <w:rsid w:val="00A17A67"/>
    <w:rsid w:val="00A21DED"/>
    <w:rsid w:val="00A24606"/>
    <w:rsid w:val="00A2494E"/>
    <w:rsid w:val="00A2563A"/>
    <w:rsid w:val="00A25CD0"/>
    <w:rsid w:val="00A26428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5668"/>
    <w:rsid w:val="00A47F74"/>
    <w:rsid w:val="00A5206A"/>
    <w:rsid w:val="00A5208D"/>
    <w:rsid w:val="00A53B5B"/>
    <w:rsid w:val="00A54387"/>
    <w:rsid w:val="00A572B4"/>
    <w:rsid w:val="00A60D13"/>
    <w:rsid w:val="00A63043"/>
    <w:rsid w:val="00A642DC"/>
    <w:rsid w:val="00A65412"/>
    <w:rsid w:val="00A66051"/>
    <w:rsid w:val="00A673EA"/>
    <w:rsid w:val="00A7290B"/>
    <w:rsid w:val="00A738BD"/>
    <w:rsid w:val="00A7565F"/>
    <w:rsid w:val="00A81AAA"/>
    <w:rsid w:val="00A832E0"/>
    <w:rsid w:val="00A8596C"/>
    <w:rsid w:val="00A862F2"/>
    <w:rsid w:val="00A879BE"/>
    <w:rsid w:val="00A92224"/>
    <w:rsid w:val="00A93077"/>
    <w:rsid w:val="00A936C9"/>
    <w:rsid w:val="00A958F1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BBB"/>
    <w:rsid w:val="00B2770E"/>
    <w:rsid w:val="00B31475"/>
    <w:rsid w:val="00B337F4"/>
    <w:rsid w:val="00B35AC8"/>
    <w:rsid w:val="00B36465"/>
    <w:rsid w:val="00B41F7E"/>
    <w:rsid w:val="00B45C8E"/>
    <w:rsid w:val="00B46ACA"/>
    <w:rsid w:val="00B479A3"/>
    <w:rsid w:val="00B51045"/>
    <w:rsid w:val="00B617BF"/>
    <w:rsid w:val="00B62983"/>
    <w:rsid w:val="00B709AA"/>
    <w:rsid w:val="00B73F2A"/>
    <w:rsid w:val="00B7707E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2DA7"/>
    <w:rsid w:val="00BC66AF"/>
    <w:rsid w:val="00BC6EFE"/>
    <w:rsid w:val="00BC7278"/>
    <w:rsid w:val="00BD32CE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AD2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3BEF"/>
    <w:rsid w:val="00CB7F3A"/>
    <w:rsid w:val="00CC0E03"/>
    <w:rsid w:val="00CC1061"/>
    <w:rsid w:val="00CC1135"/>
    <w:rsid w:val="00CC18DE"/>
    <w:rsid w:val="00CC753B"/>
    <w:rsid w:val="00CD08D3"/>
    <w:rsid w:val="00CD2191"/>
    <w:rsid w:val="00CD35C2"/>
    <w:rsid w:val="00CD44FF"/>
    <w:rsid w:val="00CD5B66"/>
    <w:rsid w:val="00CD78BA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450F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93D"/>
    <w:rsid w:val="00D543CA"/>
    <w:rsid w:val="00D561D6"/>
    <w:rsid w:val="00D605A6"/>
    <w:rsid w:val="00D60ECD"/>
    <w:rsid w:val="00D63133"/>
    <w:rsid w:val="00D64566"/>
    <w:rsid w:val="00D64CE7"/>
    <w:rsid w:val="00D65C5C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751"/>
    <w:rsid w:val="00DD2C12"/>
    <w:rsid w:val="00DD3069"/>
    <w:rsid w:val="00DD44F2"/>
    <w:rsid w:val="00DD50FB"/>
    <w:rsid w:val="00DD5255"/>
    <w:rsid w:val="00DD65C2"/>
    <w:rsid w:val="00DD7EA4"/>
    <w:rsid w:val="00DE0E00"/>
    <w:rsid w:val="00DE4D06"/>
    <w:rsid w:val="00DE5BD0"/>
    <w:rsid w:val="00DF1347"/>
    <w:rsid w:val="00DF14C1"/>
    <w:rsid w:val="00DF3AFE"/>
    <w:rsid w:val="00DF45D8"/>
    <w:rsid w:val="00DF4CC9"/>
    <w:rsid w:val="00DF69EC"/>
    <w:rsid w:val="00E0060C"/>
    <w:rsid w:val="00E00647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9C6"/>
    <w:rsid w:val="00E30345"/>
    <w:rsid w:val="00E32162"/>
    <w:rsid w:val="00E32C6E"/>
    <w:rsid w:val="00E34495"/>
    <w:rsid w:val="00E346AB"/>
    <w:rsid w:val="00E35531"/>
    <w:rsid w:val="00E3585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62BA"/>
    <w:rsid w:val="00E66EE7"/>
    <w:rsid w:val="00E722AA"/>
    <w:rsid w:val="00E7566B"/>
    <w:rsid w:val="00E839F1"/>
    <w:rsid w:val="00E9234B"/>
    <w:rsid w:val="00E927CF"/>
    <w:rsid w:val="00E93539"/>
    <w:rsid w:val="00E962EA"/>
    <w:rsid w:val="00E9756E"/>
    <w:rsid w:val="00EA27B1"/>
    <w:rsid w:val="00EA2923"/>
    <w:rsid w:val="00EA2FC8"/>
    <w:rsid w:val="00EA465B"/>
    <w:rsid w:val="00EA53DE"/>
    <w:rsid w:val="00EB0F53"/>
    <w:rsid w:val="00EB169D"/>
    <w:rsid w:val="00EB2171"/>
    <w:rsid w:val="00EB22A4"/>
    <w:rsid w:val="00EB3476"/>
    <w:rsid w:val="00EB4418"/>
    <w:rsid w:val="00EB5B61"/>
    <w:rsid w:val="00EB6C79"/>
    <w:rsid w:val="00EB74D4"/>
    <w:rsid w:val="00EB7508"/>
    <w:rsid w:val="00ED0553"/>
    <w:rsid w:val="00ED228E"/>
    <w:rsid w:val="00ED2754"/>
    <w:rsid w:val="00ED5127"/>
    <w:rsid w:val="00EE04C3"/>
    <w:rsid w:val="00EE13B8"/>
    <w:rsid w:val="00EE2B5D"/>
    <w:rsid w:val="00EE2EA5"/>
    <w:rsid w:val="00EE3C44"/>
    <w:rsid w:val="00EE5668"/>
    <w:rsid w:val="00EE60C8"/>
    <w:rsid w:val="00EE6333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4ED8"/>
    <w:rsid w:val="00F75349"/>
    <w:rsid w:val="00F75D9E"/>
    <w:rsid w:val="00F767D3"/>
    <w:rsid w:val="00F7721C"/>
    <w:rsid w:val="00F77AFF"/>
    <w:rsid w:val="00F807D8"/>
    <w:rsid w:val="00F87964"/>
    <w:rsid w:val="00F90F6F"/>
    <w:rsid w:val="00F914AB"/>
    <w:rsid w:val="00F93614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3DE2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3</cp:revision>
  <dcterms:created xsi:type="dcterms:W3CDTF">2024-09-20T07:46:00Z</dcterms:created>
  <dcterms:modified xsi:type="dcterms:W3CDTF">2024-09-23T07:04:00Z</dcterms:modified>
</cp:coreProperties>
</file>