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49952AA2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74325288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E35853">
        <w:rPr>
          <w:rFonts w:ascii="Arial" w:hAnsi="Arial" w:cs="Arial"/>
          <w:sz w:val="18"/>
          <w:szCs w:val="18"/>
        </w:rPr>
        <w:t>19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0</w:t>
      </w:r>
      <w:r w:rsidR="0020664B">
        <w:rPr>
          <w:rFonts w:ascii="Arial" w:hAnsi="Arial" w:cs="Arial"/>
          <w:sz w:val="18"/>
          <w:szCs w:val="18"/>
        </w:rPr>
        <w:t>8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80C0DA5" w14:textId="77777777" w:rsidR="000D48B9" w:rsidRPr="00570D3B" w:rsidRDefault="000D48B9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DC3FE26" w14:textId="7525C787" w:rsidR="00C17479" w:rsidRPr="00D1421F" w:rsidRDefault="00C17479" w:rsidP="00D1421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Marki usługowe przedłużają współpracę z Greenman Poland</w:t>
      </w:r>
    </w:p>
    <w:p w14:paraId="355A8D53" w14:textId="77777777" w:rsidR="00771DED" w:rsidRPr="00771DED" w:rsidRDefault="00771DED" w:rsidP="00771DE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5310C26" w14:textId="77777777" w:rsidR="000D48B9" w:rsidRDefault="000D48B9" w:rsidP="00D142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DEC6B50" w14:textId="41744969" w:rsidR="00771DED" w:rsidRPr="00D1421F" w:rsidRDefault="00771DED" w:rsidP="00D142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1421F">
        <w:rPr>
          <w:rFonts w:ascii="Arial" w:hAnsi="Arial" w:cs="Arial"/>
          <w:b/>
          <w:bCs/>
          <w:sz w:val="20"/>
          <w:szCs w:val="20"/>
        </w:rPr>
        <w:t xml:space="preserve">Marki usługowe dostrzegają potencjał centrów </w:t>
      </w:r>
      <w:r w:rsidR="001E759A">
        <w:rPr>
          <w:rFonts w:ascii="Arial" w:hAnsi="Arial" w:cs="Arial"/>
          <w:b/>
          <w:bCs/>
          <w:sz w:val="20"/>
          <w:szCs w:val="20"/>
        </w:rPr>
        <w:t>handlowych</w:t>
      </w:r>
      <w:r w:rsidRPr="00D1421F">
        <w:rPr>
          <w:rFonts w:ascii="Arial" w:hAnsi="Arial" w:cs="Arial"/>
          <w:b/>
          <w:bCs/>
          <w:sz w:val="20"/>
          <w:szCs w:val="20"/>
        </w:rPr>
        <w:t xml:space="preserve"> z portfolio Greenman Poland i zacieśniają współpracę. Tylko w ciągu ostatnich tygodni dział leasingu przedłużył aż sześć umów z najemcami tego segmentu.</w:t>
      </w:r>
    </w:p>
    <w:p w14:paraId="21DDC4D0" w14:textId="77777777" w:rsidR="00771DED" w:rsidRPr="00D1421F" w:rsidRDefault="00771DED" w:rsidP="00D142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3D43701" w14:textId="4ABA28E3" w:rsidR="00771DED" w:rsidRPr="00771DED" w:rsidRDefault="00771DED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1DED">
        <w:rPr>
          <w:rFonts w:ascii="Arial" w:hAnsi="Arial" w:cs="Arial"/>
          <w:sz w:val="20"/>
          <w:szCs w:val="20"/>
        </w:rPr>
        <w:t xml:space="preserve">W </w:t>
      </w:r>
      <w:r w:rsidR="001E759A">
        <w:rPr>
          <w:rFonts w:ascii="Arial" w:hAnsi="Arial" w:cs="Arial"/>
          <w:sz w:val="20"/>
          <w:szCs w:val="20"/>
        </w:rPr>
        <w:t>efekcie</w:t>
      </w:r>
      <w:r w:rsidR="00A17A67">
        <w:rPr>
          <w:rFonts w:ascii="Arial" w:hAnsi="Arial" w:cs="Arial"/>
          <w:sz w:val="20"/>
          <w:szCs w:val="20"/>
        </w:rPr>
        <w:t>,</w:t>
      </w:r>
      <w:r w:rsidRPr="00771DED">
        <w:rPr>
          <w:rFonts w:ascii="Arial" w:hAnsi="Arial" w:cs="Arial"/>
          <w:sz w:val="20"/>
          <w:szCs w:val="20"/>
        </w:rPr>
        <w:t xml:space="preserve"> marka </w:t>
      </w:r>
      <w:r w:rsidR="00102543">
        <w:rPr>
          <w:rFonts w:ascii="Arial" w:hAnsi="Arial" w:cs="Arial"/>
          <w:b/>
          <w:bCs/>
          <w:sz w:val="20"/>
          <w:szCs w:val="20"/>
        </w:rPr>
        <w:t>KODANO</w:t>
      </w:r>
      <w:r w:rsidRPr="00887ACE">
        <w:rPr>
          <w:rFonts w:ascii="Arial" w:hAnsi="Arial" w:cs="Arial"/>
          <w:b/>
          <w:bCs/>
          <w:sz w:val="20"/>
          <w:szCs w:val="20"/>
        </w:rPr>
        <w:t xml:space="preserve"> </w:t>
      </w:r>
      <w:r w:rsidR="00335A7E">
        <w:rPr>
          <w:rFonts w:ascii="Arial" w:hAnsi="Arial" w:cs="Arial"/>
          <w:b/>
          <w:bCs/>
          <w:sz w:val="20"/>
          <w:szCs w:val="20"/>
        </w:rPr>
        <w:t>OPTYK</w:t>
      </w:r>
      <w:r w:rsidRPr="00771DED">
        <w:rPr>
          <w:rFonts w:ascii="Arial" w:hAnsi="Arial" w:cs="Arial"/>
          <w:sz w:val="20"/>
          <w:szCs w:val="20"/>
        </w:rPr>
        <w:t xml:space="preserve"> przez kolejne lata będzie dostępna w centrach handlowych Nowe Czyżyny w Krakowie i Nowe Bielawy w Toruniu. Z kolei teleoperator </w:t>
      </w:r>
      <w:r w:rsidRPr="00887ACE">
        <w:rPr>
          <w:rFonts w:ascii="Arial" w:hAnsi="Arial" w:cs="Arial"/>
          <w:b/>
          <w:bCs/>
          <w:sz w:val="20"/>
          <w:szCs w:val="20"/>
        </w:rPr>
        <w:t>Play</w:t>
      </w:r>
      <w:r w:rsidRPr="00771DED">
        <w:rPr>
          <w:rFonts w:ascii="Arial" w:hAnsi="Arial" w:cs="Arial"/>
          <w:sz w:val="20"/>
          <w:szCs w:val="20"/>
        </w:rPr>
        <w:t xml:space="preserve"> podpisał aneksy obejmujące całe portfolio centrów Greenman Poland, co sprawia, że lokale popularnej sieci nadal będą działać w Nowych Czyżynach, Nowych Bielawach oraz w Nowej Górnej w Łodzi. W tym ostatnim obiekcie także przez następne lata dostępny będzie punkt </w:t>
      </w:r>
      <w:r w:rsidRPr="00887ACE">
        <w:rPr>
          <w:rFonts w:ascii="Arial" w:hAnsi="Arial" w:cs="Arial"/>
          <w:b/>
          <w:bCs/>
          <w:sz w:val="20"/>
          <w:szCs w:val="20"/>
        </w:rPr>
        <w:t>mBank</w:t>
      </w:r>
      <w:r w:rsidRPr="00771DED">
        <w:rPr>
          <w:rFonts w:ascii="Arial" w:hAnsi="Arial" w:cs="Arial"/>
          <w:sz w:val="20"/>
          <w:szCs w:val="20"/>
        </w:rPr>
        <w:t>. Najemca również zdecydował się przedłużyć współpracę.</w:t>
      </w:r>
    </w:p>
    <w:p w14:paraId="0F4EFA3B" w14:textId="77777777" w:rsidR="00771DED" w:rsidRPr="00771DED" w:rsidRDefault="00771DED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F4B0FB" w14:textId="34AC4609" w:rsidR="00771DED" w:rsidRPr="00CC1135" w:rsidRDefault="00771DED" w:rsidP="00D1421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71DED">
        <w:rPr>
          <w:rFonts w:ascii="Arial" w:hAnsi="Arial" w:cs="Arial"/>
          <w:sz w:val="20"/>
          <w:szCs w:val="20"/>
        </w:rPr>
        <w:t>– Charakter</w:t>
      </w:r>
      <w:r w:rsidR="001E759A">
        <w:rPr>
          <w:rFonts w:ascii="Arial" w:hAnsi="Arial" w:cs="Arial"/>
          <w:sz w:val="20"/>
          <w:szCs w:val="20"/>
        </w:rPr>
        <w:t xml:space="preserve"> convenience</w:t>
      </w:r>
      <w:r w:rsidRPr="00771DED">
        <w:rPr>
          <w:rFonts w:ascii="Arial" w:hAnsi="Arial" w:cs="Arial"/>
          <w:sz w:val="20"/>
          <w:szCs w:val="20"/>
        </w:rPr>
        <w:t xml:space="preserve"> centrów w Krakowie, Toruniu i Łodzi, które są często wybierane na codzienne zakupy, sprawia, że usługi są niezwykle ważne dla ich pozycji na lokalnym rynku. Wielu klientów odwiedza dziś te obiekty właśnie z uwagi na szeroką ofertę tego typu oraz dostęp do różnych usług pod jednym dachem, w tym przypadku związanych z optyką, usługami telekomunikacyjnymi i bankowością – </w:t>
      </w:r>
      <w:r w:rsidRPr="00771DED">
        <w:rPr>
          <w:rFonts w:ascii="Arial" w:hAnsi="Arial" w:cs="Arial"/>
          <w:b/>
          <w:bCs/>
          <w:sz w:val="20"/>
          <w:szCs w:val="20"/>
        </w:rPr>
        <w:t>mówi Karolina Nitowska, Leasing</w:t>
      </w:r>
      <w:r w:rsidR="002D2701">
        <w:rPr>
          <w:rFonts w:ascii="Arial" w:hAnsi="Arial" w:cs="Arial"/>
          <w:b/>
          <w:bCs/>
          <w:sz w:val="20"/>
          <w:szCs w:val="20"/>
        </w:rPr>
        <w:t xml:space="preserve"> Director</w:t>
      </w:r>
      <w:r w:rsidRPr="00771DED">
        <w:rPr>
          <w:rFonts w:ascii="Arial" w:hAnsi="Arial" w:cs="Arial"/>
          <w:b/>
          <w:bCs/>
          <w:sz w:val="20"/>
          <w:szCs w:val="20"/>
        </w:rPr>
        <w:t xml:space="preserve"> w Greenman Poland.</w:t>
      </w:r>
      <w:r w:rsidR="00CC1135">
        <w:rPr>
          <w:rFonts w:ascii="Arial" w:hAnsi="Arial" w:cs="Arial"/>
          <w:b/>
          <w:bCs/>
          <w:sz w:val="20"/>
          <w:szCs w:val="20"/>
        </w:rPr>
        <w:t xml:space="preserve"> </w:t>
      </w:r>
      <w:r w:rsidRPr="00771DED">
        <w:rPr>
          <w:rFonts w:ascii="Arial" w:hAnsi="Arial" w:cs="Arial"/>
          <w:sz w:val="20"/>
          <w:szCs w:val="20"/>
        </w:rPr>
        <w:t xml:space="preserve">– Priorytetem dla nas jest dalszy rozwój tenant-mixu w tym obszarze, także poprzez zacieśnianie współpracy z </w:t>
      </w:r>
      <w:r w:rsidR="004D098F">
        <w:rPr>
          <w:rFonts w:ascii="Arial" w:hAnsi="Arial" w:cs="Arial"/>
          <w:sz w:val="20"/>
          <w:szCs w:val="20"/>
        </w:rPr>
        <w:t>konceptami</w:t>
      </w:r>
      <w:r w:rsidR="004D098F" w:rsidRPr="00771DED">
        <w:rPr>
          <w:rFonts w:ascii="Arial" w:hAnsi="Arial" w:cs="Arial"/>
          <w:sz w:val="20"/>
          <w:szCs w:val="20"/>
        </w:rPr>
        <w:t xml:space="preserve"> </w:t>
      </w:r>
      <w:r w:rsidRPr="00771DED">
        <w:rPr>
          <w:rFonts w:ascii="Arial" w:hAnsi="Arial" w:cs="Arial"/>
          <w:sz w:val="20"/>
          <w:szCs w:val="20"/>
        </w:rPr>
        <w:t>obecnymi od lat. Zwłaszcza że brandy usługowe, z którymi już współpracujemy, niezmiennie postrzegają nasze centra jako atrakcyjne biznesowo lokalizacje o dużym potencjale. Przykładem tych dobrych, długofalowych relacji są ostatnie aneksy – dodaje.</w:t>
      </w:r>
    </w:p>
    <w:p w14:paraId="7136605A" w14:textId="77777777" w:rsidR="00771DED" w:rsidRPr="00771DED" w:rsidRDefault="00771DED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1B59DD" w14:textId="6A247B2D" w:rsidR="00771DED" w:rsidRPr="00771DED" w:rsidRDefault="00102543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KODANO</w:t>
      </w:r>
      <w:r w:rsidR="00771DED" w:rsidRPr="00771DED">
        <w:rPr>
          <w:rFonts w:ascii="Arial" w:hAnsi="Arial" w:cs="Arial"/>
          <w:sz w:val="20"/>
          <w:szCs w:val="20"/>
        </w:rPr>
        <w:t xml:space="preserve"> </w:t>
      </w:r>
      <w:r w:rsidR="00335A7E">
        <w:rPr>
          <w:rFonts w:ascii="Arial" w:hAnsi="Arial" w:cs="Arial"/>
          <w:sz w:val="20"/>
          <w:szCs w:val="20"/>
        </w:rPr>
        <w:t>OPTYK</w:t>
      </w:r>
      <w:r w:rsidR="00771DED" w:rsidRPr="00771DED">
        <w:rPr>
          <w:rFonts w:ascii="Arial" w:hAnsi="Arial" w:cs="Arial"/>
          <w:sz w:val="20"/>
          <w:szCs w:val="20"/>
        </w:rPr>
        <w:t xml:space="preserve">, Play i mBank dołączają tym samym do grona marek, które podjęły </w:t>
      </w:r>
      <w:r w:rsidR="001E759A">
        <w:rPr>
          <w:rFonts w:ascii="Arial" w:hAnsi="Arial" w:cs="Arial"/>
          <w:sz w:val="20"/>
          <w:szCs w:val="20"/>
        </w:rPr>
        <w:t xml:space="preserve">wcześniej </w:t>
      </w:r>
      <w:r w:rsidR="00771DED" w:rsidRPr="00771DED">
        <w:rPr>
          <w:rFonts w:ascii="Arial" w:hAnsi="Arial" w:cs="Arial"/>
          <w:sz w:val="20"/>
          <w:szCs w:val="20"/>
        </w:rPr>
        <w:t xml:space="preserve">podobne decyzje. Tylko od początku tego roku dział leasingu Greenman Poland przedłużył aż </w:t>
      </w:r>
      <w:r w:rsidR="00C17479">
        <w:rPr>
          <w:rFonts w:ascii="Arial" w:hAnsi="Arial" w:cs="Arial"/>
          <w:sz w:val="20"/>
          <w:szCs w:val="20"/>
        </w:rPr>
        <w:t>27</w:t>
      </w:r>
      <w:r w:rsidR="00C17479" w:rsidRPr="00771DED">
        <w:rPr>
          <w:rFonts w:ascii="Arial" w:hAnsi="Arial" w:cs="Arial"/>
          <w:sz w:val="20"/>
          <w:szCs w:val="20"/>
        </w:rPr>
        <w:t xml:space="preserve"> </w:t>
      </w:r>
      <w:r w:rsidR="00771DED" w:rsidRPr="00771DED">
        <w:rPr>
          <w:rFonts w:ascii="Arial" w:hAnsi="Arial" w:cs="Arial"/>
          <w:sz w:val="20"/>
          <w:szCs w:val="20"/>
        </w:rPr>
        <w:t xml:space="preserve">umów z wieloletnimi partnerami, które objęły łącznie </w:t>
      </w:r>
      <w:r w:rsidR="00C17479">
        <w:rPr>
          <w:rFonts w:ascii="Arial" w:hAnsi="Arial" w:cs="Arial"/>
          <w:sz w:val="20"/>
          <w:szCs w:val="20"/>
        </w:rPr>
        <w:t>5,7 tys.</w:t>
      </w:r>
      <w:r w:rsidR="00C17479" w:rsidRPr="00771DED">
        <w:rPr>
          <w:rFonts w:ascii="Arial" w:hAnsi="Arial" w:cs="Arial"/>
          <w:sz w:val="20"/>
          <w:szCs w:val="20"/>
        </w:rPr>
        <w:t xml:space="preserve"> </w:t>
      </w:r>
      <w:r w:rsidR="00771DED" w:rsidRPr="00771DED">
        <w:rPr>
          <w:rFonts w:ascii="Arial" w:hAnsi="Arial" w:cs="Arial"/>
          <w:sz w:val="20"/>
          <w:szCs w:val="20"/>
        </w:rPr>
        <w:t>m kw. w centrach handlowych w Toruniu Krakowie i Łodzi oraz w parkach handlowych.</w:t>
      </w:r>
    </w:p>
    <w:p w14:paraId="0A534A95" w14:textId="77777777" w:rsidR="00771DED" w:rsidRPr="00771DED" w:rsidRDefault="00771DED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4C1655" w14:textId="668AF7DD" w:rsidR="00771DED" w:rsidRPr="00771DED" w:rsidRDefault="00771DED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1DED">
        <w:rPr>
          <w:rFonts w:ascii="Arial" w:hAnsi="Arial" w:cs="Arial"/>
          <w:sz w:val="20"/>
          <w:szCs w:val="20"/>
        </w:rPr>
        <w:t xml:space="preserve"> – Za nami owocny leasingowo okres, który pokazał, jak silną pozycję na rynku mają dziś nasze obiekty</w:t>
      </w:r>
      <w:r w:rsidR="001E759A">
        <w:rPr>
          <w:rFonts w:ascii="Arial" w:hAnsi="Arial" w:cs="Arial"/>
          <w:sz w:val="20"/>
          <w:szCs w:val="20"/>
        </w:rPr>
        <w:t xml:space="preserve"> handlowe</w:t>
      </w:r>
      <w:r w:rsidRPr="00771DED">
        <w:rPr>
          <w:rFonts w:ascii="Arial" w:hAnsi="Arial" w:cs="Arial"/>
          <w:sz w:val="20"/>
          <w:szCs w:val="20"/>
        </w:rPr>
        <w:t>, a także jak dużym zaufaniem cieszą się m.in. Nowe Bielawy, Nowa Górna i Nowe Czyżyny wśród najemców, reprezentujących różne segmenty, od mody przez RTV/AGD po wspomniane usługi – mówi Karolina Nitowska.</w:t>
      </w:r>
      <w:r w:rsidR="00CC1135">
        <w:rPr>
          <w:rFonts w:ascii="Arial" w:hAnsi="Arial" w:cs="Arial"/>
          <w:sz w:val="20"/>
          <w:szCs w:val="20"/>
        </w:rPr>
        <w:t xml:space="preserve"> </w:t>
      </w:r>
      <w:r w:rsidRPr="00771DED">
        <w:rPr>
          <w:rFonts w:ascii="Arial" w:hAnsi="Arial" w:cs="Arial"/>
          <w:sz w:val="20"/>
          <w:szCs w:val="20"/>
        </w:rPr>
        <w:t xml:space="preserve">– </w:t>
      </w:r>
      <w:r w:rsidR="00AC2B9D">
        <w:rPr>
          <w:rFonts w:ascii="Arial" w:hAnsi="Arial" w:cs="Arial"/>
          <w:sz w:val="20"/>
          <w:szCs w:val="20"/>
        </w:rPr>
        <w:t>Najemcy</w:t>
      </w:r>
      <w:r w:rsidR="00AC2B9D" w:rsidRPr="00771DED">
        <w:rPr>
          <w:rFonts w:ascii="Arial" w:hAnsi="Arial" w:cs="Arial"/>
          <w:sz w:val="20"/>
          <w:szCs w:val="20"/>
        </w:rPr>
        <w:t xml:space="preserve"> </w:t>
      </w:r>
      <w:r w:rsidRPr="00771DED">
        <w:rPr>
          <w:rFonts w:ascii="Arial" w:hAnsi="Arial" w:cs="Arial"/>
          <w:sz w:val="20"/>
          <w:szCs w:val="20"/>
        </w:rPr>
        <w:t>dostrzegają nasz rozwój, chłonny rynek konsumencki oraz unikalny na rynku charakter, wykraczający poza tradycyjny schemat convenience. Zwracają także uwagę na wyniki naszych</w:t>
      </w:r>
      <w:r w:rsidR="001E759A">
        <w:rPr>
          <w:rFonts w:ascii="Arial" w:hAnsi="Arial" w:cs="Arial"/>
          <w:sz w:val="20"/>
          <w:szCs w:val="20"/>
        </w:rPr>
        <w:t xml:space="preserve"> centrów</w:t>
      </w:r>
      <w:r w:rsidRPr="00771DED">
        <w:rPr>
          <w:rFonts w:ascii="Arial" w:hAnsi="Arial" w:cs="Arial"/>
          <w:sz w:val="20"/>
          <w:szCs w:val="20"/>
        </w:rPr>
        <w:t>, które są bardzo dobrą prognozą na przyszłość. To skłania do dalszej współpracy, a także buduje trwałe relacje biznesowe – dodaje.</w:t>
      </w:r>
    </w:p>
    <w:p w14:paraId="65018B6D" w14:textId="77777777" w:rsidR="00771DED" w:rsidRPr="00771DED" w:rsidRDefault="00771DED" w:rsidP="00D1421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6B93D2" w14:textId="77777777" w:rsidR="00102543" w:rsidRDefault="00771DED" w:rsidP="0010254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1DED">
        <w:rPr>
          <w:rFonts w:ascii="Arial" w:hAnsi="Arial" w:cs="Arial"/>
          <w:sz w:val="20"/>
          <w:szCs w:val="20"/>
        </w:rPr>
        <w:t xml:space="preserve">Te relacje opierają się na solidnych fundamentach. Wszystkie trzy centra z portfolio Greenman Poland mają za sobą modernizację przestrzeni i elewacji oraz rekomercjalizację, która przyniosła nie tylko aneksy, ale także nowe otwarcia, m.in. Smyk, Empik, Tatuum, 4F czy W.Kruk. Dwa centra – Nowe Bielawy i Nowa Górna – zostały natomiast rozbudowane o parki handlowe. </w:t>
      </w:r>
      <w:r w:rsidR="00735FB8">
        <w:rPr>
          <w:rFonts w:ascii="Arial" w:hAnsi="Arial" w:cs="Arial"/>
          <w:sz w:val="20"/>
          <w:szCs w:val="20"/>
        </w:rPr>
        <w:t>Każdy obiekt z portfolio Greenman Poland ma niemal 100-procentowy poziom wynajmu.</w:t>
      </w:r>
      <w:r w:rsidR="00102543">
        <w:rPr>
          <w:rFonts w:ascii="Arial" w:hAnsi="Arial" w:cs="Arial"/>
          <w:sz w:val="20"/>
          <w:szCs w:val="20"/>
        </w:rPr>
        <w:t xml:space="preserve"> </w:t>
      </w:r>
    </w:p>
    <w:p w14:paraId="159FE0D0" w14:textId="77777777" w:rsidR="00102543" w:rsidRDefault="00102543" w:rsidP="001025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6CE005" w14:textId="2E009CD1" w:rsidR="00102543" w:rsidRPr="00102543" w:rsidRDefault="00102543" w:rsidP="00335A7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bookmarkStart w:id="1" w:name="_Hlk174440677"/>
      <w:r w:rsidRPr="00102543">
        <w:rPr>
          <w:rFonts w:ascii="Arial" w:hAnsi="Arial" w:cs="Arial"/>
          <w:sz w:val="20"/>
          <w:szCs w:val="20"/>
        </w:rPr>
        <w:t xml:space="preserve">Jako KODANO widzimy duży potencjał dalszej współpracy z </w:t>
      </w:r>
      <w:r>
        <w:rPr>
          <w:rFonts w:ascii="Arial" w:hAnsi="Arial" w:cs="Arial"/>
          <w:sz w:val="20"/>
          <w:szCs w:val="20"/>
        </w:rPr>
        <w:t>centrami</w:t>
      </w:r>
      <w:r w:rsidRPr="00102543">
        <w:rPr>
          <w:rFonts w:ascii="Arial" w:hAnsi="Arial" w:cs="Arial"/>
          <w:sz w:val="20"/>
          <w:szCs w:val="20"/>
        </w:rPr>
        <w:t xml:space="preserve"> Nowe Czyżyny </w:t>
      </w:r>
      <w:r>
        <w:rPr>
          <w:rFonts w:ascii="Arial" w:hAnsi="Arial" w:cs="Arial"/>
          <w:sz w:val="20"/>
          <w:szCs w:val="20"/>
        </w:rPr>
        <w:t>w Krakowie i Nowe Bielawy w Toruniu</w:t>
      </w:r>
      <w:r w:rsidRPr="00102543">
        <w:rPr>
          <w:rFonts w:ascii="Arial" w:hAnsi="Arial" w:cs="Arial"/>
          <w:sz w:val="20"/>
          <w:szCs w:val="20"/>
        </w:rPr>
        <w:t xml:space="preserve">, dlatego wypracowaliśmy porozumienie w kwestii podpisania przedłużeń naszych </w:t>
      </w:r>
      <w:r>
        <w:rPr>
          <w:rFonts w:ascii="Arial" w:hAnsi="Arial" w:cs="Arial"/>
          <w:sz w:val="20"/>
          <w:szCs w:val="20"/>
        </w:rPr>
        <w:t>u</w:t>
      </w:r>
      <w:r w:rsidRPr="00102543">
        <w:rPr>
          <w:rFonts w:ascii="Arial" w:hAnsi="Arial" w:cs="Arial"/>
          <w:sz w:val="20"/>
          <w:szCs w:val="20"/>
        </w:rPr>
        <w:t xml:space="preserve">mów </w:t>
      </w:r>
      <w:r>
        <w:rPr>
          <w:rFonts w:ascii="Arial" w:hAnsi="Arial" w:cs="Arial"/>
          <w:sz w:val="20"/>
          <w:szCs w:val="20"/>
        </w:rPr>
        <w:t>n</w:t>
      </w:r>
      <w:r w:rsidRPr="00102543">
        <w:rPr>
          <w:rFonts w:ascii="Arial" w:hAnsi="Arial" w:cs="Arial"/>
          <w:sz w:val="20"/>
          <w:szCs w:val="20"/>
        </w:rPr>
        <w:t>ajmu. Od samego początku współpracę z Greenman</w:t>
      </w:r>
      <w:r>
        <w:rPr>
          <w:rFonts w:ascii="Arial" w:hAnsi="Arial" w:cs="Arial"/>
          <w:sz w:val="20"/>
          <w:szCs w:val="20"/>
        </w:rPr>
        <w:t xml:space="preserve"> Poland</w:t>
      </w:r>
      <w:r w:rsidRPr="00102543">
        <w:rPr>
          <w:rFonts w:ascii="Arial" w:hAnsi="Arial" w:cs="Arial"/>
          <w:sz w:val="20"/>
          <w:szCs w:val="20"/>
        </w:rPr>
        <w:t xml:space="preserve"> oceniamy bardzo dobrze, a profesjonalne i </w:t>
      </w:r>
      <w:r>
        <w:rPr>
          <w:rFonts w:ascii="Arial" w:hAnsi="Arial" w:cs="Arial"/>
          <w:sz w:val="20"/>
          <w:szCs w:val="20"/>
        </w:rPr>
        <w:t>p</w:t>
      </w:r>
      <w:r w:rsidRPr="00102543">
        <w:rPr>
          <w:rFonts w:ascii="Arial" w:hAnsi="Arial" w:cs="Arial"/>
          <w:sz w:val="20"/>
          <w:szCs w:val="20"/>
        </w:rPr>
        <w:t xml:space="preserve">artnerskie podejście obu stron tylko zachęca do otwierania </w:t>
      </w:r>
      <w:r>
        <w:rPr>
          <w:rFonts w:ascii="Arial" w:hAnsi="Arial" w:cs="Arial"/>
          <w:sz w:val="20"/>
          <w:szCs w:val="20"/>
        </w:rPr>
        <w:t>s</w:t>
      </w:r>
      <w:r w:rsidRPr="00102543">
        <w:rPr>
          <w:rFonts w:ascii="Arial" w:hAnsi="Arial" w:cs="Arial"/>
          <w:sz w:val="20"/>
          <w:szCs w:val="20"/>
        </w:rPr>
        <w:t xml:space="preserve">alonów w obiektach Greenman. W przyszłości sami zamierzamy otwierać </w:t>
      </w:r>
      <w:r>
        <w:rPr>
          <w:rFonts w:ascii="Arial" w:hAnsi="Arial" w:cs="Arial"/>
          <w:sz w:val="20"/>
          <w:szCs w:val="20"/>
        </w:rPr>
        <w:t>s</w:t>
      </w:r>
      <w:r w:rsidRPr="00102543">
        <w:rPr>
          <w:rFonts w:ascii="Arial" w:hAnsi="Arial" w:cs="Arial"/>
          <w:sz w:val="20"/>
          <w:szCs w:val="20"/>
        </w:rPr>
        <w:t xml:space="preserve">alony </w:t>
      </w:r>
      <w:r>
        <w:rPr>
          <w:rFonts w:ascii="Arial" w:hAnsi="Arial" w:cs="Arial"/>
          <w:sz w:val="20"/>
          <w:szCs w:val="20"/>
        </w:rPr>
        <w:t>f</w:t>
      </w:r>
      <w:r w:rsidRPr="00102543">
        <w:rPr>
          <w:rFonts w:ascii="Arial" w:hAnsi="Arial" w:cs="Arial"/>
          <w:sz w:val="20"/>
          <w:szCs w:val="20"/>
        </w:rPr>
        <w:t xml:space="preserve">ranczyzowe właśnie w obiektach Greenman </w:t>
      </w:r>
      <w:r>
        <w:rPr>
          <w:rFonts w:ascii="Arial" w:hAnsi="Arial" w:cs="Arial"/>
          <w:sz w:val="20"/>
          <w:szCs w:val="20"/>
        </w:rPr>
        <w:t xml:space="preserve">– </w:t>
      </w:r>
      <w:r w:rsidRPr="002E7289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335A7E" w:rsidRPr="002E7289">
        <w:rPr>
          <w:rFonts w:ascii="Arial" w:hAnsi="Arial" w:cs="Arial"/>
          <w:b/>
          <w:bCs/>
          <w:sz w:val="20"/>
          <w:szCs w:val="20"/>
        </w:rPr>
        <w:t>Maciej Dudek, młodszy specjalista ds. rozwoju, KODANO OPTYK.</w:t>
      </w:r>
    </w:p>
    <w:bookmarkEnd w:id="1"/>
    <w:p w14:paraId="720ADEE6" w14:textId="77777777" w:rsidR="00771DED" w:rsidRDefault="00771DED" w:rsidP="00771DE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391370FE" w14:textId="16F8FC7F" w:rsidR="00E839F1" w:rsidRPr="00E839F1" w:rsidRDefault="00E839F1" w:rsidP="00771DED">
      <w:pPr>
        <w:pStyle w:val="Bezodstpw"/>
        <w:rPr>
          <w:rFonts w:ascii="Arial" w:hAnsi="Arial" w:cs="Arial"/>
          <w:sz w:val="18"/>
          <w:szCs w:val="18"/>
        </w:rPr>
      </w:pPr>
      <w:r w:rsidRPr="00E839F1">
        <w:rPr>
          <w:rFonts w:ascii="Arial" w:hAnsi="Arial" w:cs="Arial"/>
          <w:sz w:val="18"/>
          <w:szCs w:val="18"/>
        </w:rPr>
        <w:t>źródło: Greenman Poland/Guarana PR</w:t>
      </w:r>
    </w:p>
    <w:p w14:paraId="26160A0E" w14:textId="77777777" w:rsidR="00771DED" w:rsidRPr="00771DED" w:rsidRDefault="00771DED" w:rsidP="00771DED">
      <w:pPr>
        <w:pStyle w:val="Bezodstpw"/>
        <w:rPr>
          <w:rFonts w:ascii="Arial" w:hAnsi="Arial" w:cs="Arial"/>
          <w:sz w:val="20"/>
          <w:szCs w:val="20"/>
        </w:rPr>
      </w:pPr>
    </w:p>
    <w:p w14:paraId="3019CD4D" w14:textId="77777777" w:rsidR="00FD47C4" w:rsidRPr="00771DED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E5BFAA" w14:textId="77777777" w:rsidR="00FD47C4" w:rsidRPr="007830F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C1B989" w14:textId="77777777" w:rsidR="009A3CBB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***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ab/>
      </w:r>
    </w:p>
    <w:p w14:paraId="6CF7AF55" w14:textId="0C75C135" w:rsidR="009A3CBB" w:rsidRPr="003C14B3" w:rsidRDefault="009A3CBB" w:rsidP="009A3CBB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14B3">
        <w:rPr>
          <w:rFonts w:ascii="Arial" w:hAnsi="Arial" w:cs="Arial"/>
          <w:b/>
          <w:color w:val="808080" w:themeColor="background1" w:themeShade="80"/>
          <w:sz w:val="16"/>
          <w:szCs w:val="16"/>
        </w:rPr>
        <w:t>Centrum Nowe Czyżyny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</w:rPr>
        <w:t xml:space="preserve"> zlokalizowane jest w Krakowie przy ul. Medweckiego 2. Otwarty w 2002 roku obiekt ma powierzchnię 31 tys. m kw. GLA i liczy sobie 77 sklepów, restauracji i punktów usługowych. Wśród kluczowych najemców znaleźć można m.in. Carrefour, Leroy Merlin, Jysk, RTV Euro AGD, home&amp;you, Douglas, Rossmann, Big Star, Pepco, KFC i CCC. Zmotoryzowani mają tutaj do dyspozycji ponad 850 miejsc postojowych</w:t>
      </w:r>
      <w:r w:rsidR="003C14B3" w:rsidRPr="003C14B3">
        <w:rPr>
          <w:rFonts w:ascii="Arial" w:hAnsi="Arial" w:cs="Arial"/>
          <w:color w:val="808080" w:themeColor="background1" w:themeShade="80"/>
          <w:sz w:val="16"/>
          <w:szCs w:val="16"/>
        </w:rPr>
        <w:t>.</w:t>
      </w:r>
    </w:p>
    <w:p w14:paraId="750E45AA" w14:textId="77777777" w:rsidR="009A3CBB" w:rsidRPr="003C14B3" w:rsidRDefault="009A3CBB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3F937947" w14:textId="429835D9" w:rsidR="009A3CBB" w:rsidRPr="003C14B3" w:rsidRDefault="009A3CBB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14B3">
        <w:rPr>
          <w:rFonts w:ascii="Arial" w:hAnsi="Arial" w:cs="Arial"/>
          <w:b/>
          <w:bCs/>
          <w:color w:val="808080" w:themeColor="background1" w:themeShade="80"/>
          <w:sz w:val="16"/>
          <w:szCs w:val="16"/>
          <w:lang w:eastAsia="pl-PL"/>
        </w:rPr>
        <w:t>Centrum Nowe Bielawy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p w14:paraId="67F69526" w14:textId="77777777" w:rsidR="003C14B3" w:rsidRPr="003C14B3" w:rsidRDefault="003C14B3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6C44CBE" w14:textId="77777777" w:rsidR="003C14B3" w:rsidRPr="003C14B3" w:rsidRDefault="003C14B3" w:rsidP="003C14B3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14B3">
        <w:rPr>
          <w:rFonts w:ascii="Arial" w:hAnsi="Arial" w:cs="Arial"/>
          <w:b/>
          <w:color w:val="808080" w:themeColor="background1" w:themeShade="80"/>
          <w:sz w:val="16"/>
          <w:szCs w:val="16"/>
        </w:rPr>
        <w:t xml:space="preserve">Centrum Nowa Górna 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</w:rPr>
        <w:t>zlokalizowane jest w Łodzi przy ul. Kolumny 6/36. Otwarty w 1997 roku obiekt ma powierzchnię ponad 18 tys. m kw. GLA i liczy sobie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5D38EF0B" w14:textId="77777777" w:rsidR="003C14B3" w:rsidRPr="003C14B3" w:rsidRDefault="003C14B3" w:rsidP="009A3CBB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4D4D9C71" w14:textId="77777777" w:rsidR="009A3CBB" w:rsidRPr="003C14B3" w:rsidRDefault="009A3CBB" w:rsidP="00E57A4F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5CE671A" w14:textId="77777777" w:rsidR="00DD3069" w:rsidRPr="003C14B3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3C14B3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Poland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Spar</w:t>
      </w:r>
      <w:proofErr w:type="spellEnd"/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.</w:t>
      </w:r>
    </w:p>
    <w:p w14:paraId="704398EB" w14:textId="77777777" w:rsidR="00DD3069" w:rsidRPr="003C14B3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7872E260" w14:textId="158FDD99" w:rsidR="00DD3069" w:rsidRPr="003C14B3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Greenman Poland jest częścią </w:t>
      </w:r>
      <w:r w:rsidRPr="003C14B3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Group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w Irlandii</w:t>
      </w:r>
      <w:r w:rsidRPr="003C14B3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3C14B3" w:rsidRDefault="009C13DF" w:rsidP="008D0A85">
      <w:pPr>
        <w:pStyle w:val="Bezodstpw"/>
        <w:rPr>
          <w:rStyle w:val="Pogrubienie"/>
          <w:rFonts w:ascii="Arial" w:hAnsi="Arial" w:cs="Arial"/>
          <w:color w:val="808080" w:themeColor="background1" w:themeShade="80"/>
          <w:sz w:val="16"/>
          <w:szCs w:val="16"/>
        </w:rPr>
      </w:pPr>
    </w:p>
    <w:p w14:paraId="14F6F9D6" w14:textId="77777777" w:rsidR="002723AC" w:rsidRPr="003C14B3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808080" w:themeColor="background1" w:themeShade="80"/>
          <w:sz w:val="16"/>
          <w:szCs w:val="16"/>
        </w:rPr>
      </w:pPr>
    </w:p>
    <w:sectPr w:rsidR="002723AC" w:rsidRPr="003C14B3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3DAEA" w14:textId="77777777" w:rsidR="00066D3C" w:rsidRDefault="00066D3C" w:rsidP="002723AC">
      <w:pPr>
        <w:spacing w:after="0" w:line="240" w:lineRule="auto"/>
      </w:pPr>
      <w:r>
        <w:separator/>
      </w:r>
    </w:p>
  </w:endnote>
  <w:endnote w:type="continuationSeparator" w:id="0">
    <w:p w14:paraId="770EA081" w14:textId="77777777" w:rsidR="00066D3C" w:rsidRDefault="00066D3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36C41" w14:textId="77777777" w:rsidR="00066D3C" w:rsidRDefault="00066D3C" w:rsidP="002723AC">
      <w:pPr>
        <w:spacing w:after="0" w:line="240" w:lineRule="auto"/>
      </w:pPr>
      <w:r>
        <w:separator/>
      </w:r>
    </w:p>
  </w:footnote>
  <w:footnote w:type="continuationSeparator" w:id="0">
    <w:p w14:paraId="0AF8733E" w14:textId="77777777" w:rsidR="00066D3C" w:rsidRDefault="00066D3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116CD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C0D29"/>
    <w:rsid w:val="000C137A"/>
    <w:rsid w:val="000C18A4"/>
    <w:rsid w:val="000C4F3F"/>
    <w:rsid w:val="000C6E3B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02D"/>
    <w:rsid w:val="001432E1"/>
    <w:rsid w:val="0014477B"/>
    <w:rsid w:val="00145355"/>
    <w:rsid w:val="00145FE9"/>
    <w:rsid w:val="00150C6F"/>
    <w:rsid w:val="001510FD"/>
    <w:rsid w:val="00152C9A"/>
    <w:rsid w:val="001533B4"/>
    <w:rsid w:val="001559FD"/>
    <w:rsid w:val="00155E51"/>
    <w:rsid w:val="001609D0"/>
    <w:rsid w:val="00160F96"/>
    <w:rsid w:val="001651A4"/>
    <w:rsid w:val="001655B8"/>
    <w:rsid w:val="0016769B"/>
    <w:rsid w:val="00172911"/>
    <w:rsid w:val="00172D9C"/>
    <w:rsid w:val="001732EA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B05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C7A54"/>
    <w:rsid w:val="001D0029"/>
    <w:rsid w:val="001D0CE4"/>
    <w:rsid w:val="001D15B3"/>
    <w:rsid w:val="001D2AC2"/>
    <w:rsid w:val="001E015F"/>
    <w:rsid w:val="001E39B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17A3"/>
    <w:rsid w:val="00202EA3"/>
    <w:rsid w:val="00205688"/>
    <w:rsid w:val="0020664B"/>
    <w:rsid w:val="00206B86"/>
    <w:rsid w:val="00207D6A"/>
    <w:rsid w:val="0021029F"/>
    <w:rsid w:val="00211409"/>
    <w:rsid w:val="00211469"/>
    <w:rsid w:val="00212654"/>
    <w:rsid w:val="00212BC0"/>
    <w:rsid w:val="00213186"/>
    <w:rsid w:val="002145E1"/>
    <w:rsid w:val="00215DDF"/>
    <w:rsid w:val="002168C6"/>
    <w:rsid w:val="002168F7"/>
    <w:rsid w:val="00216B68"/>
    <w:rsid w:val="00220C25"/>
    <w:rsid w:val="0022236B"/>
    <w:rsid w:val="0022347E"/>
    <w:rsid w:val="00225C57"/>
    <w:rsid w:val="00227AC0"/>
    <w:rsid w:val="0023103B"/>
    <w:rsid w:val="002330B9"/>
    <w:rsid w:val="002335E1"/>
    <w:rsid w:val="00235013"/>
    <w:rsid w:val="00235045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3CF"/>
    <w:rsid w:val="00292F28"/>
    <w:rsid w:val="002944C2"/>
    <w:rsid w:val="00295B83"/>
    <w:rsid w:val="00296A5D"/>
    <w:rsid w:val="002A4942"/>
    <w:rsid w:val="002A4EE0"/>
    <w:rsid w:val="002A4F07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6A4F"/>
    <w:rsid w:val="002D2701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8C4"/>
    <w:rsid w:val="00324F7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739DE"/>
    <w:rsid w:val="003814D5"/>
    <w:rsid w:val="00383DA2"/>
    <w:rsid w:val="003856DD"/>
    <w:rsid w:val="00385BF4"/>
    <w:rsid w:val="003915EA"/>
    <w:rsid w:val="00391FC9"/>
    <w:rsid w:val="0039269D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4B3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5329"/>
    <w:rsid w:val="004006E0"/>
    <w:rsid w:val="00405666"/>
    <w:rsid w:val="00406448"/>
    <w:rsid w:val="004064C4"/>
    <w:rsid w:val="00407450"/>
    <w:rsid w:val="00411A3C"/>
    <w:rsid w:val="00412057"/>
    <w:rsid w:val="0041268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3AAE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961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2B99"/>
    <w:rsid w:val="004D3B34"/>
    <w:rsid w:val="004D3DA0"/>
    <w:rsid w:val="004D4AA5"/>
    <w:rsid w:val="004D5075"/>
    <w:rsid w:val="004D6649"/>
    <w:rsid w:val="004D6A4E"/>
    <w:rsid w:val="004D6D08"/>
    <w:rsid w:val="004D6F3B"/>
    <w:rsid w:val="004D7AEE"/>
    <w:rsid w:val="004D7B4C"/>
    <w:rsid w:val="004E0C35"/>
    <w:rsid w:val="004E312B"/>
    <w:rsid w:val="004F1F7C"/>
    <w:rsid w:val="004F2DDF"/>
    <w:rsid w:val="004F66D9"/>
    <w:rsid w:val="004F7298"/>
    <w:rsid w:val="00500369"/>
    <w:rsid w:val="0050392C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2326"/>
    <w:rsid w:val="00524FA7"/>
    <w:rsid w:val="00532370"/>
    <w:rsid w:val="00532C4D"/>
    <w:rsid w:val="005346F9"/>
    <w:rsid w:val="00535069"/>
    <w:rsid w:val="005418BB"/>
    <w:rsid w:val="0054484A"/>
    <w:rsid w:val="00553866"/>
    <w:rsid w:val="0055386D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62A5"/>
    <w:rsid w:val="005878B0"/>
    <w:rsid w:val="00590FD2"/>
    <w:rsid w:val="005925F4"/>
    <w:rsid w:val="00592DD6"/>
    <w:rsid w:val="00596011"/>
    <w:rsid w:val="00597100"/>
    <w:rsid w:val="005A07B0"/>
    <w:rsid w:val="005A2773"/>
    <w:rsid w:val="005A418C"/>
    <w:rsid w:val="005A5C85"/>
    <w:rsid w:val="005B0220"/>
    <w:rsid w:val="005B0388"/>
    <w:rsid w:val="005B040C"/>
    <w:rsid w:val="005B1362"/>
    <w:rsid w:val="005B32F2"/>
    <w:rsid w:val="005B4612"/>
    <w:rsid w:val="005C066C"/>
    <w:rsid w:val="005C0880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6C02"/>
    <w:rsid w:val="005F009B"/>
    <w:rsid w:val="005F0FCF"/>
    <w:rsid w:val="005F4452"/>
    <w:rsid w:val="005F61D0"/>
    <w:rsid w:val="005F7E89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278F"/>
    <w:rsid w:val="006630BE"/>
    <w:rsid w:val="0066449F"/>
    <w:rsid w:val="00670034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3357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F010A"/>
    <w:rsid w:val="006F0BF3"/>
    <w:rsid w:val="006F1103"/>
    <w:rsid w:val="006F6C6B"/>
    <w:rsid w:val="0070092E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2480"/>
    <w:rsid w:val="007237A2"/>
    <w:rsid w:val="00732427"/>
    <w:rsid w:val="00735BA4"/>
    <w:rsid w:val="00735FB8"/>
    <w:rsid w:val="007376A0"/>
    <w:rsid w:val="007377D6"/>
    <w:rsid w:val="0073794C"/>
    <w:rsid w:val="0074159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3BD1"/>
    <w:rsid w:val="00776997"/>
    <w:rsid w:val="007771F1"/>
    <w:rsid w:val="0077789E"/>
    <w:rsid w:val="0078009F"/>
    <w:rsid w:val="007800FF"/>
    <w:rsid w:val="00780B44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5E8F"/>
    <w:rsid w:val="007B73F7"/>
    <w:rsid w:val="007B7FE4"/>
    <w:rsid w:val="007C40CD"/>
    <w:rsid w:val="007C5ED4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EED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15C0"/>
    <w:rsid w:val="00802B3F"/>
    <w:rsid w:val="00805209"/>
    <w:rsid w:val="008111CB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4BEC"/>
    <w:rsid w:val="008561B4"/>
    <w:rsid w:val="00862E78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7338D"/>
    <w:rsid w:val="00881843"/>
    <w:rsid w:val="008824C2"/>
    <w:rsid w:val="00886617"/>
    <w:rsid w:val="00886B0B"/>
    <w:rsid w:val="00887ACE"/>
    <w:rsid w:val="00890F9E"/>
    <w:rsid w:val="00892306"/>
    <w:rsid w:val="00895A74"/>
    <w:rsid w:val="00897E35"/>
    <w:rsid w:val="008A0158"/>
    <w:rsid w:val="008A33D2"/>
    <w:rsid w:val="008A34D7"/>
    <w:rsid w:val="008A55AB"/>
    <w:rsid w:val="008A7201"/>
    <w:rsid w:val="008B11AF"/>
    <w:rsid w:val="008B45D2"/>
    <w:rsid w:val="008C2239"/>
    <w:rsid w:val="008C3E79"/>
    <w:rsid w:val="008C4665"/>
    <w:rsid w:val="008C65AA"/>
    <w:rsid w:val="008C6ED0"/>
    <w:rsid w:val="008D0A85"/>
    <w:rsid w:val="008D37CE"/>
    <w:rsid w:val="008D5198"/>
    <w:rsid w:val="008D5F27"/>
    <w:rsid w:val="008D6016"/>
    <w:rsid w:val="008E3F85"/>
    <w:rsid w:val="008E4B38"/>
    <w:rsid w:val="008E5D5A"/>
    <w:rsid w:val="008F0E04"/>
    <w:rsid w:val="008F7B3E"/>
    <w:rsid w:val="009032C6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E4D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7179A"/>
    <w:rsid w:val="009733C8"/>
    <w:rsid w:val="00973C99"/>
    <w:rsid w:val="00974185"/>
    <w:rsid w:val="009759B4"/>
    <w:rsid w:val="009773EF"/>
    <w:rsid w:val="00977836"/>
    <w:rsid w:val="009806AD"/>
    <w:rsid w:val="00982AE8"/>
    <w:rsid w:val="009876EC"/>
    <w:rsid w:val="00987EDD"/>
    <w:rsid w:val="009A1693"/>
    <w:rsid w:val="009A31C8"/>
    <w:rsid w:val="009A3CBB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C43"/>
    <w:rsid w:val="00A0608F"/>
    <w:rsid w:val="00A1059A"/>
    <w:rsid w:val="00A10606"/>
    <w:rsid w:val="00A10D67"/>
    <w:rsid w:val="00A11D0A"/>
    <w:rsid w:val="00A129D7"/>
    <w:rsid w:val="00A13EF7"/>
    <w:rsid w:val="00A15485"/>
    <w:rsid w:val="00A155D5"/>
    <w:rsid w:val="00A169C8"/>
    <w:rsid w:val="00A16CAA"/>
    <w:rsid w:val="00A17A67"/>
    <w:rsid w:val="00A21DED"/>
    <w:rsid w:val="00A24606"/>
    <w:rsid w:val="00A2494E"/>
    <w:rsid w:val="00A2563A"/>
    <w:rsid w:val="00A25CD0"/>
    <w:rsid w:val="00A26428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5668"/>
    <w:rsid w:val="00A47F74"/>
    <w:rsid w:val="00A5206A"/>
    <w:rsid w:val="00A5208D"/>
    <w:rsid w:val="00A53B5B"/>
    <w:rsid w:val="00A54387"/>
    <w:rsid w:val="00A572B4"/>
    <w:rsid w:val="00A60D13"/>
    <w:rsid w:val="00A63043"/>
    <w:rsid w:val="00A642DC"/>
    <w:rsid w:val="00A65412"/>
    <w:rsid w:val="00A66051"/>
    <w:rsid w:val="00A673EA"/>
    <w:rsid w:val="00A7290B"/>
    <w:rsid w:val="00A738BD"/>
    <w:rsid w:val="00A7565F"/>
    <w:rsid w:val="00A81AAA"/>
    <w:rsid w:val="00A832E0"/>
    <w:rsid w:val="00A8596C"/>
    <w:rsid w:val="00A862F2"/>
    <w:rsid w:val="00A879BE"/>
    <w:rsid w:val="00A92224"/>
    <w:rsid w:val="00A93077"/>
    <w:rsid w:val="00A936C9"/>
    <w:rsid w:val="00A958F1"/>
    <w:rsid w:val="00AA1F3F"/>
    <w:rsid w:val="00AA1FD5"/>
    <w:rsid w:val="00AA5378"/>
    <w:rsid w:val="00AA64BD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5628"/>
    <w:rsid w:val="00B26098"/>
    <w:rsid w:val="00B26707"/>
    <w:rsid w:val="00B26BBB"/>
    <w:rsid w:val="00B2770E"/>
    <w:rsid w:val="00B31475"/>
    <w:rsid w:val="00B337F4"/>
    <w:rsid w:val="00B35AC8"/>
    <w:rsid w:val="00B36465"/>
    <w:rsid w:val="00B41F7E"/>
    <w:rsid w:val="00B45C8E"/>
    <w:rsid w:val="00B46ACA"/>
    <w:rsid w:val="00B479A3"/>
    <w:rsid w:val="00B617BF"/>
    <w:rsid w:val="00B62983"/>
    <w:rsid w:val="00B73F2A"/>
    <w:rsid w:val="00B7707E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E2E2C"/>
    <w:rsid w:val="00BF1D9D"/>
    <w:rsid w:val="00BF2734"/>
    <w:rsid w:val="00BF2C9B"/>
    <w:rsid w:val="00BF4532"/>
    <w:rsid w:val="00BF52E9"/>
    <w:rsid w:val="00BF55A9"/>
    <w:rsid w:val="00BF7846"/>
    <w:rsid w:val="00C01DF8"/>
    <w:rsid w:val="00C02823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7F3A"/>
    <w:rsid w:val="00CC0E03"/>
    <w:rsid w:val="00CC1061"/>
    <w:rsid w:val="00CC1135"/>
    <w:rsid w:val="00CC18DE"/>
    <w:rsid w:val="00CC753B"/>
    <w:rsid w:val="00CD08D3"/>
    <w:rsid w:val="00CD2191"/>
    <w:rsid w:val="00CD35C2"/>
    <w:rsid w:val="00CD44FF"/>
    <w:rsid w:val="00CD5B66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6FB6"/>
    <w:rsid w:val="00D17965"/>
    <w:rsid w:val="00D229AB"/>
    <w:rsid w:val="00D2450F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93D"/>
    <w:rsid w:val="00D543CA"/>
    <w:rsid w:val="00D561D6"/>
    <w:rsid w:val="00D605A6"/>
    <w:rsid w:val="00D60ECD"/>
    <w:rsid w:val="00D63133"/>
    <w:rsid w:val="00D64566"/>
    <w:rsid w:val="00D64CE7"/>
    <w:rsid w:val="00D65C5C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3AFE"/>
    <w:rsid w:val="00DF45D8"/>
    <w:rsid w:val="00DF4CC9"/>
    <w:rsid w:val="00DF69EC"/>
    <w:rsid w:val="00E0060C"/>
    <w:rsid w:val="00E00647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495"/>
    <w:rsid w:val="00E346AB"/>
    <w:rsid w:val="00E35531"/>
    <w:rsid w:val="00E3585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62BA"/>
    <w:rsid w:val="00E66EE7"/>
    <w:rsid w:val="00E722AA"/>
    <w:rsid w:val="00E839F1"/>
    <w:rsid w:val="00E9234B"/>
    <w:rsid w:val="00E927CF"/>
    <w:rsid w:val="00E93539"/>
    <w:rsid w:val="00E962EA"/>
    <w:rsid w:val="00E9756E"/>
    <w:rsid w:val="00EA27B1"/>
    <w:rsid w:val="00EA2FC8"/>
    <w:rsid w:val="00EA465B"/>
    <w:rsid w:val="00EA53DE"/>
    <w:rsid w:val="00EB0F53"/>
    <w:rsid w:val="00EB169D"/>
    <w:rsid w:val="00EB2171"/>
    <w:rsid w:val="00EB22A4"/>
    <w:rsid w:val="00EB3476"/>
    <w:rsid w:val="00EB4418"/>
    <w:rsid w:val="00EB5B61"/>
    <w:rsid w:val="00EB6C79"/>
    <w:rsid w:val="00EB7508"/>
    <w:rsid w:val="00ED0553"/>
    <w:rsid w:val="00ED228E"/>
    <w:rsid w:val="00ED2754"/>
    <w:rsid w:val="00ED5127"/>
    <w:rsid w:val="00EE13B8"/>
    <w:rsid w:val="00EE2B5D"/>
    <w:rsid w:val="00EE2EA5"/>
    <w:rsid w:val="00EE3C44"/>
    <w:rsid w:val="00EE5668"/>
    <w:rsid w:val="00EE60C8"/>
    <w:rsid w:val="00EF17E9"/>
    <w:rsid w:val="00EF23AD"/>
    <w:rsid w:val="00EF2725"/>
    <w:rsid w:val="00EF3705"/>
    <w:rsid w:val="00EF5EFC"/>
    <w:rsid w:val="00EF6404"/>
    <w:rsid w:val="00F0113F"/>
    <w:rsid w:val="00F01A0F"/>
    <w:rsid w:val="00F01C95"/>
    <w:rsid w:val="00F01E02"/>
    <w:rsid w:val="00F031EC"/>
    <w:rsid w:val="00F03466"/>
    <w:rsid w:val="00F03BAF"/>
    <w:rsid w:val="00F04997"/>
    <w:rsid w:val="00F04ACE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4ED8"/>
    <w:rsid w:val="00F75349"/>
    <w:rsid w:val="00F75D9E"/>
    <w:rsid w:val="00F767D3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3DE2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8</cp:revision>
  <dcterms:created xsi:type="dcterms:W3CDTF">2024-08-13T09:26:00Z</dcterms:created>
  <dcterms:modified xsi:type="dcterms:W3CDTF">2024-08-19T06:40:00Z</dcterms:modified>
</cp:coreProperties>
</file>