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6A04D" w14:textId="7F5FE9E0" w:rsidR="00931DF9" w:rsidRPr="00570D3B" w:rsidRDefault="00DF14C1" w:rsidP="0079451E">
      <w:pPr>
        <w:pStyle w:val="Bezodstpw"/>
        <w:jc w:val="both"/>
        <w:rPr>
          <w:rFonts w:ascii="Arial" w:hAnsi="Arial" w:cs="Arial"/>
          <w:sz w:val="20"/>
          <w:szCs w:val="20"/>
        </w:rPr>
      </w:pPr>
      <w:bookmarkStart w:id="0" w:name="_Hlk133229676"/>
      <w:r w:rsidRPr="00570D3B">
        <w:rPr>
          <w:noProof/>
        </w:rPr>
        <w:drawing>
          <wp:anchor distT="0" distB="0" distL="114300" distR="114300" simplePos="0" relativeHeight="251657728" behindDoc="0" locked="0" layoutInCell="1" allowOverlap="1" wp14:anchorId="61DB51D2" wp14:editId="129EBB96">
            <wp:simplePos x="0" y="0"/>
            <wp:positionH relativeFrom="column">
              <wp:posOffset>1973580</wp:posOffset>
            </wp:positionH>
            <wp:positionV relativeFrom="paragraph">
              <wp:posOffset>-585470</wp:posOffset>
            </wp:positionV>
            <wp:extent cx="1972310" cy="586740"/>
            <wp:effectExtent l="0" t="0" r="0" b="0"/>
            <wp:wrapNone/>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2310"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06970" w14:textId="77777777" w:rsidR="00931DF9" w:rsidRPr="00570D3B" w:rsidRDefault="00931DF9" w:rsidP="0079451E">
      <w:pPr>
        <w:pStyle w:val="Bezodstpw"/>
        <w:jc w:val="both"/>
        <w:rPr>
          <w:rFonts w:ascii="Arial" w:hAnsi="Arial" w:cs="Arial"/>
          <w:sz w:val="20"/>
          <w:szCs w:val="20"/>
        </w:rPr>
      </w:pPr>
    </w:p>
    <w:p w14:paraId="1099C1C3" w14:textId="71326EB9" w:rsidR="00EA27B1" w:rsidRPr="00570D3B" w:rsidRDefault="00EA27B1" w:rsidP="0079451E">
      <w:pPr>
        <w:pStyle w:val="Bezodstpw"/>
        <w:jc w:val="both"/>
        <w:rPr>
          <w:rFonts w:ascii="Arial" w:hAnsi="Arial" w:cs="Arial"/>
          <w:sz w:val="18"/>
          <w:szCs w:val="18"/>
        </w:rPr>
      </w:pPr>
      <w:r w:rsidRPr="00570D3B">
        <w:rPr>
          <w:rFonts w:ascii="Arial" w:hAnsi="Arial" w:cs="Arial"/>
          <w:sz w:val="18"/>
          <w:szCs w:val="18"/>
        </w:rPr>
        <w:t xml:space="preserve">Informacja prasowa: </w:t>
      </w:r>
      <w:r w:rsidR="00C8173E">
        <w:rPr>
          <w:rFonts w:ascii="Arial" w:hAnsi="Arial" w:cs="Arial"/>
          <w:sz w:val="18"/>
          <w:szCs w:val="18"/>
        </w:rPr>
        <w:t>29</w:t>
      </w:r>
      <w:r w:rsidRPr="00570D3B">
        <w:rPr>
          <w:rFonts w:ascii="Arial" w:hAnsi="Arial" w:cs="Arial"/>
          <w:sz w:val="18"/>
          <w:szCs w:val="18"/>
        </w:rPr>
        <w:t>-</w:t>
      </w:r>
      <w:r w:rsidR="00907F43" w:rsidRPr="00570D3B">
        <w:rPr>
          <w:rFonts w:ascii="Arial" w:hAnsi="Arial" w:cs="Arial"/>
          <w:sz w:val="18"/>
          <w:szCs w:val="18"/>
        </w:rPr>
        <w:t>0</w:t>
      </w:r>
      <w:r w:rsidR="00590FD2">
        <w:rPr>
          <w:rFonts w:ascii="Arial" w:hAnsi="Arial" w:cs="Arial"/>
          <w:sz w:val="18"/>
          <w:szCs w:val="18"/>
        </w:rPr>
        <w:t>7</w:t>
      </w:r>
      <w:r w:rsidRPr="00570D3B">
        <w:rPr>
          <w:rFonts w:ascii="Arial" w:hAnsi="Arial" w:cs="Arial"/>
          <w:sz w:val="18"/>
          <w:szCs w:val="18"/>
        </w:rPr>
        <w:t>-</w:t>
      </w:r>
      <w:r w:rsidR="00907F43" w:rsidRPr="00570D3B">
        <w:rPr>
          <w:rFonts w:ascii="Arial" w:hAnsi="Arial" w:cs="Arial"/>
          <w:sz w:val="18"/>
          <w:szCs w:val="18"/>
        </w:rPr>
        <w:t>2024</w:t>
      </w:r>
      <w:r w:rsidRPr="00570D3B">
        <w:rPr>
          <w:rFonts w:ascii="Arial" w:hAnsi="Arial" w:cs="Arial"/>
          <w:sz w:val="18"/>
          <w:szCs w:val="18"/>
        </w:rPr>
        <w:t xml:space="preserve">, </w:t>
      </w:r>
      <w:r w:rsidR="004564A2" w:rsidRPr="00570D3B">
        <w:rPr>
          <w:rFonts w:ascii="Arial" w:hAnsi="Arial" w:cs="Arial"/>
          <w:sz w:val="18"/>
          <w:szCs w:val="18"/>
        </w:rPr>
        <w:t>Warszawa</w:t>
      </w:r>
    </w:p>
    <w:p w14:paraId="75AB01AC"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 xml:space="preserve">Biuro Prasowe </w:t>
      </w:r>
      <w:r w:rsidR="004564A2" w:rsidRPr="00570D3B">
        <w:rPr>
          <w:rFonts w:ascii="Arial" w:hAnsi="Arial" w:cs="Arial"/>
          <w:sz w:val="18"/>
          <w:szCs w:val="18"/>
        </w:rPr>
        <w:t>Greenman Poland</w:t>
      </w:r>
    </w:p>
    <w:p w14:paraId="3C6C074A"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Tomasz Pietrzak/Guarana PR</w:t>
      </w:r>
    </w:p>
    <w:p w14:paraId="176079A0"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 xml:space="preserve">tel. 509 106 256 mail. </w:t>
      </w:r>
      <w:r w:rsidR="00931DF9" w:rsidRPr="00570D3B">
        <w:rPr>
          <w:rFonts w:ascii="Arial" w:hAnsi="Arial" w:cs="Arial"/>
          <w:sz w:val="18"/>
          <w:szCs w:val="18"/>
        </w:rPr>
        <w:t>t</w:t>
      </w:r>
      <w:r w:rsidR="004B46C7" w:rsidRPr="00570D3B">
        <w:rPr>
          <w:rFonts w:ascii="Arial" w:hAnsi="Arial" w:cs="Arial"/>
          <w:sz w:val="18"/>
          <w:szCs w:val="18"/>
        </w:rPr>
        <w:t>omasz.pietrzak[at]guaranapr.pl</w:t>
      </w:r>
    </w:p>
    <w:p w14:paraId="320D3321" w14:textId="77777777" w:rsidR="00895A74" w:rsidRPr="00570D3B" w:rsidRDefault="00895A74" w:rsidP="00895A74">
      <w:pPr>
        <w:pStyle w:val="Bezodstpw"/>
        <w:rPr>
          <w:rFonts w:ascii="Arial" w:hAnsi="Arial" w:cs="Arial"/>
          <w:sz w:val="20"/>
          <w:szCs w:val="20"/>
        </w:rPr>
      </w:pPr>
    </w:p>
    <w:p w14:paraId="2877E7BC" w14:textId="77777777" w:rsidR="009A3CBB" w:rsidRPr="006D74EF" w:rsidRDefault="009A3CBB" w:rsidP="009A3CBB">
      <w:pPr>
        <w:pStyle w:val="Bezodstpw"/>
        <w:jc w:val="both"/>
        <w:rPr>
          <w:rFonts w:ascii="Arial" w:hAnsi="Arial" w:cs="Arial"/>
        </w:rPr>
      </w:pPr>
    </w:p>
    <w:p w14:paraId="2E901A56" w14:textId="77777777" w:rsidR="00FD47C4" w:rsidRPr="007830F3" w:rsidRDefault="00FD47C4" w:rsidP="00FD47C4">
      <w:pPr>
        <w:pStyle w:val="Bezodstpw"/>
        <w:jc w:val="center"/>
        <w:rPr>
          <w:rFonts w:ascii="Arial" w:hAnsi="Arial" w:cs="Arial"/>
          <w:b/>
          <w:bCs/>
          <w:sz w:val="26"/>
          <w:szCs w:val="26"/>
        </w:rPr>
      </w:pPr>
      <w:r w:rsidRPr="007830F3">
        <w:rPr>
          <w:rFonts w:ascii="Arial" w:hAnsi="Arial" w:cs="Arial"/>
          <w:b/>
          <w:bCs/>
          <w:sz w:val="26"/>
          <w:szCs w:val="26"/>
        </w:rPr>
        <w:t>Portfolio Greenman Poland zwraca uwagę rynku</w:t>
      </w:r>
    </w:p>
    <w:p w14:paraId="694F215E" w14:textId="77777777" w:rsidR="00FD47C4" w:rsidRPr="007830F3" w:rsidRDefault="00FD47C4" w:rsidP="00FD47C4">
      <w:pPr>
        <w:pStyle w:val="Bezodstpw"/>
        <w:jc w:val="both"/>
        <w:rPr>
          <w:rFonts w:ascii="Arial" w:hAnsi="Arial" w:cs="Arial"/>
          <w:sz w:val="20"/>
          <w:szCs w:val="20"/>
        </w:rPr>
      </w:pPr>
    </w:p>
    <w:p w14:paraId="1BC001F8" w14:textId="77777777" w:rsidR="00FD47C4" w:rsidRPr="007830F3" w:rsidRDefault="00FD47C4" w:rsidP="00FD47C4">
      <w:pPr>
        <w:pStyle w:val="Bezodstpw"/>
        <w:jc w:val="both"/>
        <w:rPr>
          <w:rFonts w:ascii="Arial" w:hAnsi="Arial" w:cs="Arial"/>
          <w:sz w:val="20"/>
          <w:szCs w:val="20"/>
        </w:rPr>
      </w:pPr>
    </w:p>
    <w:p w14:paraId="3018535F" w14:textId="2A46AC84" w:rsidR="00FD47C4" w:rsidRPr="007830F3" w:rsidRDefault="00FD47C4" w:rsidP="00FD47C4">
      <w:pPr>
        <w:pStyle w:val="Bezodstpw"/>
        <w:jc w:val="both"/>
        <w:rPr>
          <w:rFonts w:ascii="Arial" w:hAnsi="Arial" w:cs="Arial"/>
          <w:b/>
          <w:bCs/>
          <w:sz w:val="20"/>
          <w:szCs w:val="20"/>
        </w:rPr>
      </w:pPr>
      <w:r w:rsidRPr="00805209">
        <w:rPr>
          <w:rFonts w:ascii="Arial" w:hAnsi="Arial" w:cs="Arial"/>
          <w:b/>
          <w:bCs/>
          <w:sz w:val="20"/>
          <w:szCs w:val="20"/>
        </w:rPr>
        <w:t>Polski rynek convenience nieustannie rośnie. Zmieniają się także obiekty z portfolio Greenman Poland. Dwa z nich przeszły niedawno rozbudowę. Centra</w:t>
      </w:r>
      <w:r w:rsidR="005F0FCF" w:rsidRPr="00805209">
        <w:rPr>
          <w:rFonts w:ascii="Arial" w:hAnsi="Arial" w:cs="Arial"/>
          <w:b/>
          <w:bCs/>
          <w:sz w:val="20"/>
          <w:szCs w:val="20"/>
        </w:rPr>
        <w:t>, za sprawą rekomercjalizacji,</w:t>
      </w:r>
      <w:r w:rsidRPr="00805209">
        <w:rPr>
          <w:rFonts w:ascii="Arial" w:hAnsi="Arial" w:cs="Arial"/>
          <w:b/>
          <w:bCs/>
          <w:sz w:val="20"/>
          <w:szCs w:val="20"/>
        </w:rPr>
        <w:t xml:space="preserve"> zyskują także nowych najemców</w:t>
      </w:r>
      <w:r w:rsidR="000A5864">
        <w:rPr>
          <w:rFonts w:ascii="Arial" w:hAnsi="Arial" w:cs="Arial"/>
          <w:b/>
          <w:bCs/>
          <w:sz w:val="20"/>
          <w:szCs w:val="20"/>
        </w:rPr>
        <w:t xml:space="preserve">. </w:t>
      </w:r>
      <w:r w:rsidRPr="00805209">
        <w:rPr>
          <w:rFonts w:ascii="Arial" w:hAnsi="Arial" w:cs="Arial"/>
          <w:b/>
          <w:bCs/>
          <w:sz w:val="20"/>
          <w:szCs w:val="20"/>
        </w:rPr>
        <w:t>Rozmawiamy z Karoliną Nitowską, Leasing Director w Greenman Poland.</w:t>
      </w:r>
      <w:r w:rsidRPr="007830F3">
        <w:rPr>
          <w:rFonts w:ascii="Arial" w:hAnsi="Arial" w:cs="Arial"/>
          <w:b/>
          <w:bCs/>
          <w:sz w:val="20"/>
          <w:szCs w:val="20"/>
        </w:rPr>
        <w:t xml:space="preserve"> </w:t>
      </w:r>
    </w:p>
    <w:p w14:paraId="304339E8" w14:textId="77777777" w:rsidR="00FD47C4" w:rsidRPr="007830F3" w:rsidRDefault="00FD47C4" w:rsidP="00FD47C4">
      <w:pPr>
        <w:pStyle w:val="Bezodstpw"/>
        <w:jc w:val="both"/>
        <w:rPr>
          <w:rFonts w:ascii="Arial" w:hAnsi="Arial" w:cs="Arial"/>
          <w:b/>
          <w:bCs/>
          <w:sz w:val="20"/>
          <w:szCs w:val="20"/>
        </w:rPr>
      </w:pPr>
    </w:p>
    <w:p w14:paraId="1E113D52" w14:textId="77777777" w:rsidR="00FD47C4" w:rsidRPr="007830F3" w:rsidRDefault="00FD47C4" w:rsidP="00FD47C4">
      <w:pPr>
        <w:pStyle w:val="Bezodstpw"/>
        <w:jc w:val="both"/>
        <w:rPr>
          <w:rFonts w:ascii="Arial" w:hAnsi="Arial" w:cs="Arial"/>
          <w:b/>
          <w:bCs/>
          <w:sz w:val="20"/>
          <w:szCs w:val="20"/>
        </w:rPr>
      </w:pPr>
    </w:p>
    <w:p w14:paraId="166A2392" w14:textId="77777777" w:rsidR="00FD47C4" w:rsidRPr="007830F3" w:rsidRDefault="00FD47C4" w:rsidP="00FD47C4">
      <w:pPr>
        <w:pStyle w:val="Bezodstpw"/>
        <w:jc w:val="both"/>
        <w:rPr>
          <w:rFonts w:ascii="Arial" w:hAnsi="Arial" w:cs="Arial"/>
          <w:b/>
          <w:bCs/>
          <w:sz w:val="20"/>
          <w:szCs w:val="20"/>
        </w:rPr>
      </w:pPr>
      <w:r w:rsidRPr="007830F3">
        <w:rPr>
          <w:rFonts w:ascii="Arial" w:hAnsi="Arial" w:cs="Arial"/>
          <w:b/>
          <w:bCs/>
          <w:sz w:val="20"/>
          <w:szCs w:val="20"/>
        </w:rPr>
        <w:t>Co sprawia, że segment convenience jest dziś tak atrakcyjny dla konsumenta?</w:t>
      </w:r>
    </w:p>
    <w:p w14:paraId="00E35509" w14:textId="77777777" w:rsidR="00FD47C4" w:rsidRPr="007830F3" w:rsidRDefault="00FD47C4" w:rsidP="00FD47C4">
      <w:pPr>
        <w:pStyle w:val="Bezodstpw"/>
        <w:jc w:val="both"/>
        <w:rPr>
          <w:rFonts w:ascii="Arial" w:hAnsi="Arial" w:cs="Arial"/>
          <w:sz w:val="20"/>
          <w:szCs w:val="20"/>
        </w:rPr>
      </w:pPr>
    </w:p>
    <w:p w14:paraId="7E44AA6D" w14:textId="44497106" w:rsidR="00FD47C4" w:rsidRPr="006440D3" w:rsidRDefault="006440D3" w:rsidP="00FD47C4">
      <w:pPr>
        <w:pStyle w:val="Bezodstpw"/>
        <w:jc w:val="both"/>
        <w:rPr>
          <w:rFonts w:ascii="Arial" w:hAnsi="Arial" w:cs="Arial"/>
          <w:sz w:val="20"/>
          <w:szCs w:val="20"/>
        </w:rPr>
      </w:pPr>
      <w:r w:rsidRPr="006440D3">
        <w:rPr>
          <w:rFonts w:ascii="Arial" w:hAnsi="Arial" w:cs="Arial"/>
          <w:b/>
          <w:bCs/>
          <w:sz w:val="20"/>
          <w:szCs w:val="20"/>
        </w:rPr>
        <w:t xml:space="preserve">Karolina Nitowska: </w:t>
      </w:r>
      <w:r w:rsidRPr="006440D3">
        <w:rPr>
          <w:rFonts w:ascii="Arial" w:hAnsi="Arial" w:cs="Arial"/>
          <w:sz w:val="20"/>
          <w:szCs w:val="20"/>
        </w:rPr>
        <w:t>Przede wszystkim jest to sektor, który szybko nadąża za klientem, jego potrzebami i zwyczajami zakupowymi, co daje mu ogromną przewagę. Atrakcyjność tkwi więc w elastyczności i reagowaniu na zmiany na rynku, ale nie tylko. Obiekty convenience idealnie wpasowały się w trend lokalności zakupów, który rozwinął się w ostatnich 3-4 latach. Są to miejsca zakupów, które zawsze są blisko i po sąsiedzku, oszczędzają czas, a do tego są doskonale osadzone w lokalnych społecznościach. Dodatkowo dochodzi kwestia ewolucji tenant-mixów. Coraz więcej marek chętnie otwiera sklepy w retail parkach i centrach convenience, w efekcie czego oferta ulega dywersyfikacji, staje się szersza, coraz bardziej kompletna i kompaktowa. W tego typu obiektach znajdziemy już nie tylko ofertę spożywczą czy RTV/AGD, ale także popularne sklepy EDLP, off-price, modowe, sportowe, drogerie, a także coraz ciekawsze usługi i gastronomię. Klienci doceniają centra convenience także za dogodną lokalizację. Coraz więcej obiektów, a nawet hubów convenience, wyrasta bowiem nie na obrzeżach miast, ale w ich centrach, na nowoczesnych osiedlach czy przy głównych arteriach, często również na trasie do dużych galerii handlowych. To znacząco skraca dystans w drodze na zakupy.</w:t>
      </w:r>
    </w:p>
    <w:p w14:paraId="1F696191" w14:textId="77777777" w:rsidR="006440D3" w:rsidRPr="006440D3" w:rsidRDefault="006440D3" w:rsidP="00FD47C4">
      <w:pPr>
        <w:pStyle w:val="Bezodstpw"/>
        <w:jc w:val="both"/>
        <w:rPr>
          <w:rFonts w:ascii="Arial" w:hAnsi="Arial" w:cs="Arial"/>
          <w:sz w:val="20"/>
          <w:szCs w:val="20"/>
        </w:rPr>
      </w:pPr>
    </w:p>
    <w:p w14:paraId="2B4B2597" w14:textId="77777777" w:rsidR="00FD47C4" w:rsidRPr="007830F3" w:rsidRDefault="00FD47C4" w:rsidP="00FD47C4">
      <w:pPr>
        <w:pStyle w:val="Bezodstpw"/>
        <w:jc w:val="both"/>
        <w:rPr>
          <w:rFonts w:ascii="Arial" w:hAnsi="Arial" w:cs="Arial"/>
          <w:b/>
          <w:bCs/>
          <w:sz w:val="20"/>
          <w:szCs w:val="20"/>
        </w:rPr>
      </w:pPr>
      <w:r w:rsidRPr="007830F3">
        <w:rPr>
          <w:rFonts w:ascii="Arial" w:hAnsi="Arial" w:cs="Arial"/>
          <w:b/>
          <w:bCs/>
          <w:sz w:val="20"/>
          <w:szCs w:val="20"/>
        </w:rPr>
        <w:t>Nadal możemy mówić o boomie na convenience?</w:t>
      </w:r>
    </w:p>
    <w:p w14:paraId="7CEDCD6C" w14:textId="77777777" w:rsidR="00FD47C4" w:rsidRPr="007830F3" w:rsidRDefault="00FD47C4" w:rsidP="00FD47C4">
      <w:pPr>
        <w:pStyle w:val="Bezodstpw"/>
        <w:jc w:val="both"/>
        <w:rPr>
          <w:rFonts w:ascii="Arial" w:hAnsi="Arial" w:cs="Arial"/>
          <w:sz w:val="20"/>
          <w:szCs w:val="20"/>
        </w:rPr>
      </w:pPr>
    </w:p>
    <w:p w14:paraId="033CF1F3" w14:textId="225247CD" w:rsidR="006440D3" w:rsidRDefault="00FD47C4" w:rsidP="00FD47C4">
      <w:pPr>
        <w:pStyle w:val="Bezodstpw"/>
        <w:jc w:val="both"/>
        <w:rPr>
          <w:rFonts w:ascii="Arial" w:hAnsi="Arial" w:cs="Arial"/>
          <w:sz w:val="20"/>
          <w:szCs w:val="20"/>
        </w:rPr>
      </w:pPr>
      <w:r w:rsidRPr="007830F3">
        <w:rPr>
          <w:rFonts w:ascii="Arial" w:hAnsi="Arial" w:cs="Arial"/>
          <w:sz w:val="20"/>
          <w:szCs w:val="20"/>
        </w:rPr>
        <w:t xml:space="preserve">K.N.: </w:t>
      </w:r>
      <w:r w:rsidR="006440D3" w:rsidRPr="006440D3">
        <w:rPr>
          <w:rFonts w:ascii="Arial" w:hAnsi="Arial" w:cs="Arial"/>
          <w:sz w:val="20"/>
          <w:szCs w:val="20"/>
        </w:rPr>
        <w:t>Tak, to nadal silny trend, który zostanie z nami na dłużej, bo jest on motywowany oczekiwaniami konsumentów. Ponadto coraz więcej krajowych i zagranicznych inwestorów dostrzega potencjał polskiego rynku i stawia na ekspansję. Widać to zresztą w liczbach. Jak podaje Colliers, tylko w I kwartale tego roku aż 78% nowej podaży na rynku przypadało na parki handlowe. W 2023 roku do użytku oddano natomiast aż 330 tys. m</w:t>
      </w:r>
      <w:r w:rsidR="006440D3">
        <w:rPr>
          <w:rFonts w:ascii="Arial" w:hAnsi="Arial" w:cs="Arial"/>
          <w:sz w:val="20"/>
          <w:szCs w:val="20"/>
        </w:rPr>
        <w:t xml:space="preserve"> kw.</w:t>
      </w:r>
      <w:r w:rsidR="006440D3" w:rsidRPr="006440D3">
        <w:rPr>
          <w:rFonts w:ascii="Arial" w:hAnsi="Arial" w:cs="Arial"/>
          <w:sz w:val="20"/>
          <w:szCs w:val="20"/>
        </w:rPr>
        <w:t xml:space="preserve"> w segmencie convenience, co stanowiło aż 87% całkowitej podaży w minionym roku. To dziś najbardziej rozwojowa część rynku retail w Polsce.</w:t>
      </w:r>
    </w:p>
    <w:p w14:paraId="1F6E7045" w14:textId="77777777" w:rsidR="006440D3" w:rsidRDefault="006440D3" w:rsidP="00FD47C4">
      <w:pPr>
        <w:pStyle w:val="Bezodstpw"/>
        <w:jc w:val="both"/>
        <w:rPr>
          <w:rFonts w:ascii="Arial" w:hAnsi="Arial" w:cs="Arial"/>
          <w:sz w:val="20"/>
          <w:szCs w:val="20"/>
        </w:rPr>
      </w:pPr>
    </w:p>
    <w:p w14:paraId="0E4313E7" w14:textId="541AB3BE" w:rsidR="00FD47C4" w:rsidRPr="007830F3" w:rsidRDefault="00FD47C4" w:rsidP="00FD47C4">
      <w:pPr>
        <w:pStyle w:val="Bezodstpw"/>
        <w:jc w:val="both"/>
        <w:rPr>
          <w:rFonts w:ascii="Arial" w:hAnsi="Arial" w:cs="Arial"/>
          <w:b/>
          <w:bCs/>
          <w:sz w:val="20"/>
          <w:szCs w:val="20"/>
        </w:rPr>
      </w:pPr>
      <w:r w:rsidRPr="007830F3">
        <w:rPr>
          <w:rFonts w:ascii="Arial" w:hAnsi="Arial" w:cs="Arial"/>
          <w:b/>
          <w:bCs/>
          <w:sz w:val="20"/>
          <w:szCs w:val="20"/>
        </w:rPr>
        <w:t>Także obiekty convenience z portfolio Greenman Poland się rozwijają?</w:t>
      </w:r>
    </w:p>
    <w:p w14:paraId="3E5F4BBA" w14:textId="77777777" w:rsidR="00FD47C4" w:rsidRPr="007830F3" w:rsidRDefault="00FD47C4" w:rsidP="00FD47C4">
      <w:pPr>
        <w:pStyle w:val="Bezodstpw"/>
        <w:jc w:val="both"/>
        <w:rPr>
          <w:rFonts w:ascii="Arial" w:hAnsi="Arial" w:cs="Arial"/>
          <w:sz w:val="20"/>
          <w:szCs w:val="20"/>
        </w:rPr>
      </w:pPr>
    </w:p>
    <w:p w14:paraId="4A8C1CF7" w14:textId="3B33F1D6" w:rsidR="00FD47C4" w:rsidRDefault="00FD47C4" w:rsidP="00FD47C4">
      <w:pPr>
        <w:pStyle w:val="Bezodstpw"/>
        <w:jc w:val="both"/>
        <w:rPr>
          <w:rFonts w:ascii="Arial" w:hAnsi="Arial" w:cs="Arial"/>
          <w:sz w:val="20"/>
          <w:szCs w:val="20"/>
        </w:rPr>
      </w:pPr>
      <w:r w:rsidRPr="00FD47C4">
        <w:rPr>
          <w:rFonts w:ascii="Arial" w:hAnsi="Arial" w:cs="Arial"/>
          <w:sz w:val="20"/>
          <w:szCs w:val="20"/>
        </w:rPr>
        <w:t xml:space="preserve">K.N.: </w:t>
      </w:r>
      <w:r w:rsidR="006440D3" w:rsidRPr="006440D3">
        <w:rPr>
          <w:rFonts w:ascii="Arial" w:hAnsi="Arial" w:cs="Arial"/>
          <w:sz w:val="20"/>
          <w:szCs w:val="20"/>
        </w:rPr>
        <w:t>Zdecydowanie i to w wielu obszarach. Za nami dwa intensywne lata rozwoju, które zaowocowały rozbudową centrów Nowe Bielawy w Toruniu i Nowa Górna w Łodzi. Pierwszy z tych obiektów zyskał aż dwa nowoczesne parki handlowe z sześcioma najemcami: NEONET, Komfort, TEDi, Sinsay, Action i Maxi Zoo. Drugi wzbogaciła oferta jednego parku z czterema sklepami: Action, Sinsay, KiK i Maxi Zoo. Dodatkowo, centra te przekształciliśmy w prorodzinne kompleksy convenience, które dzięki szerokiej ofercie sprzyjają codziennym, ale także weekendowym zakupom. Inwestycje te nie tylko znacznie poszerzyły ofertę istniejących obiektów, ale także umocniły ich pozycję na rynku oraz zwróciły uwagę branży. Miały one również kolosalny wpływ na wyniki, jakie od otwarcia parków handlowych obserwujemy w tych dwóch lokalizacjach.</w:t>
      </w:r>
    </w:p>
    <w:p w14:paraId="48A16296" w14:textId="77777777" w:rsidR="006440D3" w:rsidRPr="007830F3" w:rsidRDefault="006440D3" w:rsidP="00FD47C4">
      <w:pPr>
        <w:pStyle w:val="Bezodstpw"/>
        <w:jc w:val="both"/>
        <w:rPr>
          <w:rFonts w:ascii="Arial" w:hAnsi="Arial" w:cs="Arial"/>
          <w:sz w:val="20"/>
          <w:szCs w:val="20"/>
        </w:rPr>
      </w:pPr>
    </w:p>
    <w:p w14:paraId="7C4011E2" w14:textId="77777777" w:rsidR="00FD47C4" w:rsidRPr="00854BEC" w:rsidRDefault="00FD47C4" w:rsidP="00FD47C4">
      <w:pPr>
        <w:pStyle w:val="Bezodstpw"/>
        <w:jc w:val="both"/>
        <w:rPr>
          <w:rFonts w:ascii="Arial" w:hAnsi="Arial" w:cs="Arial"/>
          <w:b/>
          <w:bCs/>
          <w:sz w:val="20"/>
          <w:szCs w:val="20"/>
        </w:rPr>
      </w:pPr>
      <w:r w:rsidRPr="00854BEC">
        <w:rPr>
          <w:rFonts w:ascii="Arial" w:hAnsi="Arial" w:cs="Arial"/>
          <w:b/>
          <w:bCs/>
          <w:sz w:val="20"/>
          <w:szCs w:val="20"/>
        </w:rPr>
        <w:t>Rozbudowy to jeden wymiar zmian w portfolio Greenman Poland, a pozostałe?</w:t>
      </w:r>
    </w:p>
    <w:p w14:paraId="40FB095B" w14:textId="77777777" w:rsidR="00FD47C4" w:rsidRPr="00854BEC" w:rsidRDefault="00FD47C4" w:rsidP="00FD47C4">
      <w:pPr>
        <w:pStyle w:val="Bezodstpw"/>
        <w:jc w:val="both"/>
        <w:rPr>
          <w:rFonts w:ascii="Arial" w:hAnsi="Arial" w:cs="Arial"/>
          <w:sz w:val="20"/>
          <w:szCs w:val="20"/>
        </w:rPr>
      </w:pPr>
    </w:p>
    <w:p w14:paraId="6FA51534" w14:textId="77777777" w:rsidR="006440D3" w:rsidRDefault="00FD47C4" w:rsidP="00FD47C4">
      <w:pPr>
        <w:pStyle w:val="Bezodstpw"/>
        <w:jc w:val="both"/>
        <w:rPr>
          <w:rFonts w:ascii="Arial" w:hAnsi="Arial" w:cs="Arial"/>
          <w:sz w:val="20"/>
          <w:szCs w:val="20"/>
        </w:rPr>
      </w:pPr>
      <w:r w:rsidRPr="00854BEC">
        <w:rPr>
          <w:rFonts w:ascii="Arial" w:hAnsi="Arial" w:cs="Arial"/>
          <w:sz w:val="20"/>
          <w:szCs w:val="20"/>
        </w:rPr>
        <w:t xml:space="preserve">K.N.:  </w:t>
      </w:r>
      <w:r w:rsidR="006440D3" w:rsidRPr="006440D3">
        <w:rPr>
          <w:rFonts w:ascii="Arial" w:hAnsi="Arial" w:cs="Arial"/>
          <w:sz w:val="20"/>
          <w:szCs w:val="20"/>
        </w:rPr>
        <w:t xml:space="preserve">Każde z centrów w ostatnich latach przeszło modernizację. Nowe Bielawy, Nowa Górna i Nowe Czyżyny zyskały nowe elewacje. W obiektach tych powstały też nowe przestrzenie, takie jak strefy relaksu, kids play, toalety rodzinne czy czytelnie. Uporządkowaliśmy również tereny zielone wokół nich. Były to szeroko zakrojone prace. Jednocześnie mocno koncentrowaliśmy się na dalszym rozwoju oferty, </w:t>
      </w:r>
      <w:r w:rsidR="006440D3" w:rsidRPr="006440D3">
        <w:rPr>
          <w:rFonts w:ascii="Arial" w:hAnsi="Arial" w:cs="Arial"/>
          <w:sz w:val="20"/>
          <w:szCs w:val="20"/>
        </w:rPr>
        <w:lastRenderedPageBreak/>
        <w:t>nie tylko poprzez rozbudowy. Sukcesywnie realizujemy przyjętą strategię, która poza budową trzech parków handlowych obejmuje rekomercjalizację wszystkich trzech centrów z portfolio Greenman Poland. Pracujemy przede wszystkim nad pozyskiwaniem konceptów, które mają dużą szansę na generowanie wysokich obrotów, co jest sytuacją win-win dla obu stron. W rezultacie wprowadzamy do oferty nowe, profootfallowe marki, których oczekiwali nasi klienci. Przykładem są debiuty takich marek jak Smyk, Empik, Tatuum, 4F czy W.Kruk. W efekcie wzbogaciliśmy ofertę w każdym segmencie, a w szczególności w takich obszarach jak moda czy lifestyle. Jednocześnie w ostatnim czasie rozwijaliśmy współpracę z obecnymi najemcami, co zaowocowało przedłużeniem kluczowych dla nas umów, relokacjami, często na większą powierzchnię, a także remontami i wprowadzeniem najnowszych konceptów handlowych. Część tych prac jest już zrealizowana, część jest w toku lub w planach. Na przykład w Nowych Bielawach Rossmann zdecydował się na powiększenie lokalu i wprowadzenie nowego konceptu, z kolei CCC we wszystkich trzech centrach zaplanowało modernizację swoich sklepów. To jednak nie koniec zmian, które będziemy realizować z naszymi partnerami w ciągu najbliższego roku.</w:t>
      </w:r>
    </w:p>
    <w:p w14:paraId="3746FB70" w14:textId="77777777" w:rsidR="006440D3" w:rsidRDefault="006440D3" w:rsidP="00FD47C4">
      <w:pPr>
        <w:pStyle w:val="Bezodstpw"/>
        <w:jc w:val="both"/>
        <w:rPr>
          <w:rFonts w:ascii="Arial" w:hAnsi="Arial" w:cs="Arial"/>
          <w:sz w:val="20"/>
          <w:szCs w:val="20"/>
        </w:rPr>
      </w:pPr>
    </w:p>
    <w:p w14:paraId="4DB9A8BE" w14:textId="2B2B4D73" w:rsidR="00FD47C4" w:rsidRPr="00854BEC" w:rsidRDefault="00FD47C4" w:rsidP="00FD47C4">
      <w:pPr>
        <w:pStyle w:val="Bezodstpw"/>
        <w:jc w:val="both"/>
        <w:rPr>
          <w:rFonts w:ascii="Arial" w:hAnsi="Arial" w:cs="Arial"/>
          <w:b/>
          <w:bCs/>
          <w:sz w:val="20"/>
          <w:szCs w:val="20"/>
        </w:rPr>
      </w:pPr>
      <w:r w:rsidRPr="00854BEC">
        <w:rPr>
          <w:rFonts w:ascii="Arial" w:hAnsi="Arial" w:cs="Arial"/>
          <w:b/>
          <w:bCs/>
          <w:sz w:val="20"/>
          <w:szCs w:val="20"/>
        </w:rPr>
        <w:t>Można zaryzykować stwierdzenie, że siłą centrów convenience stają się dziś obecne w nich marki?</w:t>
      </w:r>
    </w:p>
    <w:p w14:paraId="668B5C0F" w14:textId="77777777" w:rsidR="00FD47C4" w:rsidRPr="00854BEC" w:rsidRDefault="00FD47C4" w:rsidP="00FD47C4">
      <w:pPr>
        <w:pStyle w:val="Bezodstpw"/>
        <w:jc w:val="both"/>
        <w:rPr>
          <w:rFonts w:ascii="Arial" w:hAnsi="Arial" w:cs="Arial"/>
          <w:sz w:val="20"/>
          <w:szCs w:val="20"/>
        </w:rPr>
      </w:pPr>
    </w:p>
    <w:p w14:paraId="3B9DABA5" w14:textId="5D9A360D" w:rsidR="00FD47C4" w:rsidRDefault="00FD47C4" w:rsidP="00FD47C4">
      <w:pPr>
        <w:pStyle w:val="Bezodstpw"/>
        <w:jc w:val="both"/>
        <w:rPr>
          <w:rFonts w:ascii="Arial" w:hAnsi="Arial" w:cs="Arial"/>
          <w:sz w:val="20"/>
          <w:szCs w:val="20"/>
        </w:rPr>
      </w:pPr>
      <w:r w:rsidRPr="00854BEC">
        <w:rPr>
          <w:rFonts w:ascii="Arial" w:hAnsi="Arial" w:cs="Arial"/>
          <w:sz w:val="20"/>
          <w:szCs w:val="20"/>
        </w:rPr>
        <w:t xml:space="preserve">K.N.: </w:t>
      </w:r>
      <w:r w:rsidR="006440D3" w:rsidRPr="006440D3">
        <w:rPr>
          <w:rFonts w:ascii="Arial" w:hAnsi="Arial" w:cs="Arial"/>
          <w:sz w:val="20"/>
          <w:szCs w:val="20"/>
        </w:rPr>
        <w:t>Z perspektywy centrów Greenman Poland zdecydowanie tak. Dziś rozwijamy ofertę naszych centrów tak, aby znalazły się w nich przede wszystkim marki profootfallowe oraz – co istotne – dopasowane do portfela klienta na lokalnym rynku. Koncentrujemy się na tenant-mixie opartym na znanych sieciach, takich jak odzieżowe, drogeryjne, EDLP, home czy usługowe. Jednocześnie – co widać w kompleksach w Toruniu i Łodzi – tworzymy ofertę tak, aby sklepy dostępne w centrach i parkach handlowych wzajemnie się uzupełniały, dając klientom jeszcze więcej możliwości zakupowych podczas jednego wyjścia. Takie podejście do rozwoju oferty wpływa pozytywnie na wskaźnik odwiedzin i obroty, a także na to, jak jesteśmy postrzegani.</w:t>
      </w:r>
    </w:p>
    <w:p w14:paraId="45FBCE1E" w14:textId="77777777" w:rsidR="006440D3" w:rsidRPr="00854BEC" w:rsidRDefault="006440D3" w:rsidP="00FD47C4">
      <w:pPr>
        <w:pStyle w:val="Bezodstpw"/>
        <w:jc w:val="both"/>
        <w:rPr>
          <w:rFonts w:ascii="Arial" w:hAnsi="Arial" w:cs="Arial"/>
          <w:b/>
          <w:bCs/>
          <w:sz w:val="20"/>
          <w:szCs w:val="20"/>
        </w:rPr>
      </w:pPr>
    </w:p>
    <w:p w14:paraId="2ACEAD2A" w14:textId="77777777" w:rsidR="00FD47C4" w:rsidRPr="00854BEC" w:rsidRDefault="00FD47C4" w:rsidP="00FD47C4">
      <w:pPr>
        <w:pStyle w:val="Bezodstpw"/>
        <w:jc w:val="both"/>
        <w:rPr>
          <w:rFonts w:ascii="Arial" w:hAnsi="Arial" w:cs="Arial"/>
          <w:b/>
          <w:bCs/>
          <w:sz w:val="20"/>
          <w:szCs w:val="20"/>
        </w:rPr>
      </w:pPr>
      <w:r w:rsidRPr="00854BEC">
        <w:rPr>
          <w:rFonts w:ascii="Arial" w:hAnsi="Arial" w:cs="Arial"/>
          <w:b/>
          <w:bCs/>
          <w:sz w:val="20"/>
          <w:szCs w:val="20"/>
        </w:rPr>
        <w:t>Skoro mowa o postrzeganiu, na jakie atuty Nowych Bielaw, Nowej Górnej i Nowych Czyżyn zwracają dziś uwagę najemcy?</w:t>
      </w:r>
    </w:p>
    <w:p w14:paraId="55D5DE07" w14:textId="77777777" w:rsidR="00FD47C4" w:rsidRPr="00854BEC" w:rsidRDefault="00FD47C4" w:rsidP="00FD47C4">
      <w:pPr>
        <w:pStyle w:val="Bezodstpw"/>
        <w:jc w:val="both"/>
        <w:rPr>
          <w:rFonts w:ascii="Arial" w:hAnsi="Arial" w:cs="Arial"/>
          <w:sz w:val="20"/>
          <w:szCs w:val="20"/>
        </w:rPr>
      </w:pPr>
    </w:p>
    <w:p w14:paraId="08B38E1C" w14:textId="77777777" w:rsidR="00FD47C4" w:rsidRPr="00854BEC" w:rsidRDefault="00FD47C4" w:rsidP="00FD47C4">
      <w:pPr>
        <w:pStyle w:val="Bezodstpw"/>
        <w:jc w:val="both"/>
        <w:rPr>
          <w:rFonts w:ascii="Arial" w:hAnsi="Arial" w:cs="Arial"/>
          <w:sz w:val="20"/>
          <w:szCs w:val="20"/>
        </w:rPr>
      </w:pPr>
    </w:p>
    <w:p w14:paraId="48E3A34E" w14:textId="2386D0D3" w:rsidR="00FD47C4" w:rsidRDefault="00FD47C4" w:rsidP="00FD47C4">
      <w:pPr>
        <w:pStyle w:val="Bezodstpw"/>
        <w:jc w:val="both"/>
        <w:rPr>
          <w:rFonts w:ascii="Arial" w:hAnsi="Arial" w:cs="Arial"/>
          <w:sz w:val="20"/>
          <w:szCs w:val="20"/>
        </w:rPr>
      </w:pPr>
      <w:r w:rsidRPr="00854BEC">
        <w:rPr>
          <w:rFonts w:ascii="Arial" w:hAnsi="Arial" w:cs="Arial"/>
          <w:sz w:val="20"/>
          <w:szCs w:val="20"/>
        </w:rPr>
        <w:t xml:space="preserve">K.N.: </w:t>
      </w:r>
      <w:r w:rsidR="006440D3" w:rsidRPr="006440D3">
        <w:rPr>
          <w:rFonts w:ascii="Arial" w:hAnsi="Arial" w:cs="Arial"/>
          <w:sz w:val="20"/>
          <w:szCs w:val="20"/>
        </w:rPr>
        <w:t>Każde z tych centrów cechuje dziś duży potencjał leasingowy, co widać w zainteresowaniu najemców oraz wysokim wskaźniku komercjalizacji. Uwagę marek zwraca przede wszystkim fakt, że każdy z tych obiektów działa na szerokim, chłonnym i rozwijającym się rynku konsumenckim, co jest szansą dla dużych sieci poszukujących atrakcyjnych biznesowo lokalizacji w Łodzi, Toruniu i Krakowie. Ponadto wszystkie trzy centra w ostatnich latach przeszły remonty, co sprawia, że marki mogą lokować się w nowoczesnym otoczeniu, w dodatku wypełnionym sklepami generującymi footfall i obroty. Najemcy doceniają także fakt, że z sukcesem rozwijamy swój autorski format convenience, w którym wychodzimy poza tradycyjne ramy, sięgając do współprac z markami lifestylowymi i modowymi, typowymi np. dla galerii fashion. Stąd obecność w naszych tenant-mixach takich brandów jak Douglas, CCC, Apart, W.Kruk, Tatuum, Inglot, Pawo, Smyk czy Sinsay. Uwagę zwraca także prowadzony marketing, nastawiony na wsparcie sprzedaży i lokalną promocję marek, które są u nas dostępne, ale także na unikalne doświadczenie zakupowe, jakie zapewniamy poprzez dbałość o ofertę, atrakcje czasu wolnego czy kalendarz wydarzeń. Partnerzy biznesowi dostrzegają również fakt, że w rozwoju słuchamy lokalnego rynku, w efekcie dla wielu osób jesteśmy obecnie destynacją numer jeden na codzienne zakupy.</w:t>
      </w:r>
    </w:p>
    <w:p w14:paraId="2CC086A4" w14:textId="77777777" w:rsidR="006440D3" w:rsidRPr="00854BEC" w:rsidRDefault="006440D3" w:rsidP="00FD47C4">
      <w:pPr>
        <w:pStyle w:val="Bezodstpw"/>
        <w:jc w:val="both"/>
        <w:rPr>
          <w:rFonts w:ascii="Arial" w:hAnsi="Arial" w:cs="Arial"/>
          <w:sz w:val="20"/>
          <w:szCs w:val="20"/>
        </w:rPr>
      </w:pPr>
    </w:p>
    <w:p w14:paraId="5FFCBE2D" w14:textId="77777777" w:rsidR="00FD47C4" w:rsidRPr="00854BEC" w:rsidRDefault="00FD47C4" w:rsidP="00FD47C4">
      <w:pPr>
        <w:pStyle w:val="Bezodstpw"/>
        <w:jc w:val="both"/>
        <w:rPr>
          <w:rFonts w:ascii="Arial" w:hAnsi="Arial" w:cs="Arial"/>
          <w:b/>
          <w:bCs/>
          <w:sz w:val="20"/>
          <w:szCs w:val="20"/>
        </w:rPr>
      </w:pPr>
      <w:r w:rsidRPr="00854BEC">
        <w:rPr>
          <w:rFonts w:ascii="Arial" w:hAnsi="Arial" w:cs="Arial"/>
          <w:b/>
          <w:bCs/>
          <w:sz w:val="20"/>
          <w:szCs w:val="20"/>
        </w:rPr>
        <w:t>Jakie mają Państwo plany na najbliższe miesiące?</w:t>
      </w:r>
    </w:p>
    <w:p w14:paraId="7E18B230" w14:textId="77777777" w:rsidR="00FD47C4" w:rsidRPr="00854BEC" w:rsidRDefault="00FD47C4" w:rsidP="00FD47C4">
      <w:pPr>
        <w:pStyle w:val="Bezodstpw"/>
        <w:jc w:val="both"/>
        <w:rPr>
          <w:rFonts w:ascii="Arial" w:hAnsi="Arial" w:cs="Arial"/>
          <w:sz w:val="20"/>
          <w:szCs w:val="20"/>
        </w:rPr>
      </w:pPr>
    </w:p>
    <w:p w14:paraId="1478E695" w14:textId="77777777" w:rsidR="00FD47C4" w:rsidRPr="00854BEC" w:rsidRDefault="00FD47C4" w:rsidP="00FD47C4">
      <w:pPr>
        <w:pStyle w:val="Bezodstpw"/>
        <w:jc w:val="both"/>
        <w:rPr>
          <w:rFonts w:ascii="Arial" w:hAnsi="Arial" w:cs="Arial"/>
          <w:sz w:val="20"/>
          <w:szCs w:val="20"/>
        </w:rPr>
      </w:pPr>
    </w:p>
    <w:p w14:paraId="16513B78" w14:textId="757CE537" w:rsidR="006440D3" w:rsidRPr="006440D3" w:rsidRDefault="00FD47C4" w:rsidP="006440D3">
      <w:pPr>
        <w:pStyle w:val="Bezodstpw"/>
        <w:jc w:val="both"/>
        <w:rPr>
          <w:rFonts w:ascii="Arial" w:hAnsi="Arial" w:cs="Arial"/>
          <w:sz w:val="20"/>
          <w:szCs w:val="20"/>
        </w:rPr>
      </w:pPr>
      <w:r w:rsidRPr="00854BEC">
        <w:rPr>
          <w:rFonts w:ascii="Arial" w:hAnsi="Arial" w:cs="Arial"/>
          <w:sz w:val="20"/>
          <w:szCs w:val="20"/>
        </w:rPr>
        <w:t xml:space="preserve">K.N.: </w:t>
      </w:r>
      <w:r w:rsidR="006440D3" w:rsidRPr="006440D3">
        <w:rPr>
          <w:rFonts w:ascii="Arial" w:hAnsi="Arial" w:cs="Arial"/>
          <w:sz w:val="20"/>
          <w:szCs w:val="20"/>
        </w:rPr>
        <w:t xml:space="preserve">Niezmiennie koncentrujemy się na przedłużaniu umów z wieloletnimi najemcami oraz na wprowadzaniu do centrów nowych konceptów. Przed nami także kilka nowości w ofercie. Marka CCC, przedłużając z nami umowę, zdecydowała się jednocześnie na modernizację swoich sklepów w trzech lokalizacjach: w Nowych Bielawach, Nowej Górnej i Nowych Czyżynach. Pierwszy sklep CCC w nowym koncepcie będzie można zobaczyć </w:t>
      </w:r>
      <w:r w:rsidR="00FD7625">
        <w:rPr>
          <w:rFonts w:ascii="Arial" w:hAnsi="Arial" w:cs="Arial"/>
          <w:sz w:val="20"/>
          <w:szCs w:val="20"/>
        </w:rPr>
        <w:t>już niebawem</w:t>
      </w:r>
      <w:r w:rsidR="00C8173E">
        <w:rPr>
          <w:rFonts w:ascii="Arial" w:hAnsi="Arial" w:cs="Arial"/>
          <w:sz w:val="20"/>
          <w:szCs w:val="20"/>
        </w:rPr>
        <w:t xml:space="preserve">. </w:t>
      </w:r>
      <w:r w:rsidR="006440D3" w:rsidRPr="006440D3">
        <w:rPr>
          <w:rFonts w:ascii="Arial" w:hAnsi="Arial" w:cs="Arial"/>
          <w:sz w:val="20"/>
          <w:szCs w:val="20"/>
        </w:rPr>
        <w:t>Z kolei sieć Empik przymierza się do debiutu w Nowych Bielawach, na co czekało wielu naszych klientów. Prace modernizacyjne w Nowych Bielawach rozpocznie niebawem także Douglas. Lokal czeka remont oraz powiększenie, co utwierdza nas w przekonaniu, że sieć realizuje u nas założone cele oraz dostrzega potencjał do dalszego rozwoju w tej lokalizacji.</w:t>
      </w:r>
    </w:p>
    <w:p w14:paraId="4563384B" w14:textId="77777777" w:rsidR="006440D3" w:rsidRPr="006440D3" w:rsidRDefault="006440D3" w:rsidP="006440D3">
      <w:pPr>
        <w:pStyle w:val="Bezodstpw"/>
        <w:jc w:val="both"/>
        <w:rPr>
          <w:rFonts w:ascii="Arial" w:hAnsi="Arial" w:cs="Arial"/>
          <w:sz w:val="20"/>
          <w:szCs w:val="20"/>
        </w:rPr>
      </w:pPr>
    </w:p>
    <w:p w14:paraId="1A68588D" w14:textId="0A737CF3" w:rsidR="00FD47C4" w:rsidRPr="007830F3" w:rsidRDefault="006440D3" w:rsidP="006440D3">
      <w:pPr>
        <w:pStyle w:val="Bezodstpw"/>
        <w:jc w:val="both"/>
        <w:rPr>
          <w:rFonts w:ascii="Arial" w:hAnsi="Arial" w:cs="Arial"/>
          <w:sz w:val="20"/>
          <w:szCs w:val="20"/>
        </w:rPr>
      </w:pPr>
      <w:r w:rsidRPr="006440D3">
        <w:rPr>
          <w:rFonts w:ascii="Arial" w:hAnsi="Arial" w:cs="Arial"/>
          <w:sz w:val="20"/>
          <w:szCs w:val="20"/>
        </w:rPr>
        <w:lastRenderedPageBreak/>
        <w:t>Prowadzimy również zaawansowane rozmowy z kolejnymi markami, które niebawem u nas zadebiutują. Jesteśmy również w toku rozmów na temat relokacji połączonych z przedłużaniem umów najmu. Silna pozycja centrów oraz ostatnie modernizacje i rozbudowy sprawiły, że budzimy ciekawość rynku. Tym bardziej, że jak szacujemy, do jesieni tego roku osiągniemy 100% komercjalizacji w każdym obiekcie.</w:t>
      </w:r>
    </w:p>
    <w:p w14:paraId="3019CD4D" w14:textId="77777777" w:rsidR="00FD47C4" w:rsidRPr="007830F3" w:rsidRDefault="00FD47C4" w:rsidP="00FD47C4">
      <w:pPr>
        <w:pStyle w:val="Bezodstpw"/>
        <w:jc w:val="both"/>
        <w:rPr>
          <w:rFonts w:ascii="Arial" w:hAnsi="Arial" w:cs="Arial"/>
          <w:sz w:val="20"/>
          <w:szCs w:val="20"/>
        </w:rPr>
      </w:pPr>
    </w:p>
    <w:p w14:paraId="68E5BFAA" w14:textId="77777777" w:rsidR="00FD47C4" w:rsidRPr="007830F3" w:rsidRDefault="00FD47C4" w:rsidP="00FD47C4">
      <w:pPr>
        <w:pStyle w:val="Bezodstpw"/>
        <w:jc w:val="both"/>
        <w:rPr>
          <w:rFonts w:ascii="Arial" w:hAnsi="Arial" w:cs="Arial"/>
          <w:sz w:val="20"/>
          <w:szCs w:val="20"/>
        </w:rPr>
      </w:pPr>
    </w:p>
    <w:p w14:paraId="52C1B989" w14:textId="77777777" w:rsidR="009A3CBB" w:rsidRDefault="009A3CBB" w:rsidP="009A3CBB">
      <w:pPr>
        <w:tabs>
          <w:tab w:val="left" w:pos="1695"/>
        </w:tabs>
        <w:jc w:val="both"/>
        <w:rPr>
          <w:rFonts w:ascii="Arial" w:hAnsi="Arial" w:cs="Arial"/>
          <w:color w:val="000000"/>
          <w:sz w:val="16"/>
          <w:szCs w:val="16"/>
          <w:shd w:val="clear" w:color="auto" w:fill="FFFFFF"/>
        </w:rPr>
      </w:pPr>
      <w:r>
        <w:rPr>
          <w:rFonts w:ascii="Arial" w:hAnsi="Arial" w:cs="Arial"/>
          <w:color w:val="000000"/>
          <w:sz w:val="16"/>
          <w:szCs w:val="16"/>
          <w:shd w:val="clear" w:color="auto" w:fill="FFFFFF"/>
        </w:rPr>
        <w:t>***</w:t>
      </w:r>
      <w:r>
        <w:rPr>
          <w:rFonts w:ascii="Arial" w:hAnsi="Arial" w:cs="Arial"/>
          <w:color w:val="000000"/>
          <w:sz w:val="16"/>
          <w:szCs w:val="16"/>
          <w:shd w:val="clear" w:color="auto" w:fill="FFFFFF"/>
        </w:rPr>
        <w:tab/>
      </w:r>
    </w:p>
    <w:p w14:paraId="6CF7AF55" w14:textId="77777777" w:rsidR="009A3CBB" w:rsidRDefault="009A3CBB" w:rsidP="009A3CBB">
      <w:pPr>
        <w:pStyle w:val="Bezodstpw"/>
        <w:jc w:val="both"/>
        <w:rPr>
          <w:rFonts w:ascii="Arial" w:hAnsi="Arial" w:cs="Arial"/>
          <w:sz w:val="16"/>
          <w:szCs w:val="16"/>
        </w:rPr>
      </w:pPr>
      <w:r>
        <w:rPr>
          <w:rFonts w:ascii="Arial" w:hAnsi="Arial" w:cs="Arial"/>
          <w:b/>
          <w:sz w:val="16"/>
          <w:szCs w:val="16"/>
        </w:rPr>
        <w:t>Centrum Nowe Czyżyny</w:t>
      </w:r>
      <w:r>
        <w:rPr>
          <w:rFonts w:ascii="Arial" w:hAnsi="Arial" w:cs="Arial"/>
          <w:sz w:val="16"/>
          <w:szCs w:val="16"/>
        </w:rPr>
        <w:t xml:space="preserve"> zlokalizowane jest w Krakowie przy ul. Medweckiego 2. Otwarty w 2002 roku obiekt ma powierzchnię 31 tys. m kw. GLA i liczy sobie 77 sklepów, restauracji i punktów usługowych. Wśród kluczowych najemców znaleźć można m.in. Carrefour, Leroy Merlin, Jysk, RTV Euro AGD, home&amp;you, Douglas, Rossmann, Big Star, Pepco, KFC i CCC. Zmotoryzowani mają tutaj do dyspozycji ponad 850 miejsc postojowych. /nowe-czyzyny.pl</w:t>
      </w:r>
    </w:p>
    <w:p w14:paraId="750E45AA" w14:textId="77777777" w:rsidR="009A3CBB" w:rsidRDefault="009A3CBB" w:rsidP="009A3CBB">
      <w:pPr>
        <w:pStyle w:val="Bezodstpw"/>
        <w:rPr>
          <w:rFonts w:ascii="Arial" w:hAnsi="Arial" w:cs="Arial"/>
          <w:sz w:val="16"/>
          <w:szCs w:val="16"/>
        </w:rPr>
      </w:pPr>
    </w:p>
    <w:p w14:paraId="3F937947" w14:textId="77777777" w:rsidR="009A3CBB" w:rsidRDefault="009A3CBB" w:rsidP="009A3CBB">
      <w:pPr>
        <w:pStyle w:val="Bezodstpw"/>
        <w:rPr>
          <w:rFonts w:ascii="Arial" w:hAnsi="Arial" w:cs="Arial"/>
          <w:color w:val="262626"/>
          <w:sz w:val="16"/>
          <w:szCs w:val="16"/>
        </w:rPr>
      </w:pPr>
      <w:r>
        <w:rPr>
          <w:rFonts w:ascii="Arial" w:hAnsi="Arial" w:cs="Arial"/>
          <w:b/>
          <w:bCs/>
          <w:sz w:val="16"/>
          <w:szCs w:val="16"/>
          <w:lang w:eastAsia="pl-PL"/>
        </w:rPr>
        <w:t>Centrum Nowe Bielawy</w:t>
      </w:r>
      <w:r>
        <w:rPr>
          <w:rFonts w:ascii="Arial" w:hAnsi="Arial" w:cs="Arial"/>
          <w:sz w:val="16"/>
          <w:szCs w:val="16"/>
          <w:lang w:eastAsia="pl-PL"/>
        </w:rPr>
        <w:t xml:space="preserve"> zlokalizowane jest we wschodniej części Torunia w pobliżu DK 15 i 80 oraz autostrady A1, niecałe 15 minut od Starego Miasta. Otwarty w 2002 roku obiekt ma powierzchnię 25 tys. m kw. GLA i liczy sobie 70 sklepów, restauracji i punktów usługowych. Wśród kluczowych najemców znaleźć można m.in. Carrefour, Jysk, RTV Euro AGD, Douglas, home&amp;you, Carry, Rossmann, Pepco i CCC. Zrealizowana w 2022 roku i 2023 roku rozbudowa obiektu, zaowocowała powstaniem 2 nowoczesnych parków handlowych. W ich ofercie dostępne są sklepy: NEONET, Komfort, TEDi, Sinsay, Action i Maxi Zoo. </w:t>
      </w:r>
      <w:r>
        <w:rPr>
          <w:rFonts w:ascii="Arial" w:hAnsi="Arial" w:cs="Arial"/>
          <w:color w:val="262626"/>
          <w:sz w:val="16"/>
          <w:szCs w:val="16"/>
        </w:rPr>
        <w:t xml:space="preserve">/ www.nowe-bielawy.pl </w:t>
      </w:r>
    </w:p>
    <w:p w14:paraId="17A06FA3" w14:textId="77777777" w:rsidR="009A3CBB" w:rsidRDefault="009A3CBB" w:rsidP="009A3CBB">
      <w:pPr>
        <w:pStyle w:val="Bezodstpw"/>
        <w:rPr>
          <w:rFonts w:ascii="Arial" w:hAnsi="Arial" w:cs="Arial"/>
          <w:sz w:val="16"/>
          <w:szCs w:val="16"/>
          <w:lang w:eastAsia="pl-PL"/>
        </w:rPr>
      </w:pPr>
    </w:p>
    <w:p w14:paraId="4D4D9C71" w14:textId="77777777" w:rsidR="009A3CBB" w:rsidRDefault="009A3CBB" w:rsidP="00E57A4F">
      <w:pPr>
        <w:pStyle w:val="Bezodstpw"/>
        <w:rPr>
          <w:rFonts w:ascii="Arial" w:hAnsi="Arial" w:cs="Arial"/>
          <w:color w:val="122228"/>
          <w:sz w:val="16"/>
          <w:szCs w:val="16"/>
        </w:rPr>
      </w:pPr>
    </w:p>
    <w:p w14:paraId="55CE671A" w14:textId="77777777" w:rsidR="00DD3069" w:rsidRPr="00570D3B" w:rsidRDefault="00DD3069" w:rsidP="00DD3069">
      <w:pPr>
        <w:pStyle w:val="Bezodstpw"/>
        <w:jc w:val="both"/>
        <w:rPr>
          <w:rFonts w:ascii="Arial" w:hAnsi="Arial" w:cs="Arial"/>
          <w:sz w:val="16"/>
          <w:szCs w:val="16"/>
          <w:shd w:val="clear" w:color="auto" w:fill="FFFFFF"/>
        </w:rPr>
      </w:pPr>
      <w:r w:rsidRPr="00570D3B">
        <w:rPr>
          <w:rFonts w:ascii="Arial" w:hAnsi="Arial" w:cs="Arial"/>
          <w:b/>
          <w:bCs/>
          <w:sz w:val="16"/>
          <w:szCs w:val="16"/>
          <w:shd w:val="clear" w:color="auto" w:fill="FFFFFF"/>
        </w:rPr>
        <w:t>Greenman Poland</w:t>
      </w:r>
      <w:r w:rsidRPr="00570D3B">
        <w:rPr>
          <w:rFonts w:ascii="Arial" w:hAnsi="Arial" w:cs="Arial"/>
          <w:sz w:val="16"/>
          <w:szCs w:val="16"/>
          <w:shd w:val="clear" w:color="auto" w:fill="FFFFFF"/>
        </w:rPr>
        <w:t xml:space="preserve">, asset manager i deweloper w segmencie convenience z siedzibą w Warszawie, koncentruje się na nabywaniu, zarządzaniu oraz rozwoju parków handlowych i centrów handlowych bazujących na ofercie spożywczej. Greenman Poland zarządza aktywami o wartości 150 mln euro, na które składają się parki handlowe i centra handlowe o łącznej powierzchni 87 tys. m kw. Najemcami tych obiektów są wiodące europejskie sieci handlowe, takie jak Carrefour, Rossmann, JYSK, Pepco czy </w:t>
      </w:r>
      <w:proofErr w:type="spellStart"/>
      <w:r w:rsidRPr="00570D3B">
        <w:rPr>
          <w:rFonts w:ascii="Arial" w:hAnsi="Arial" w:cs="Arial"/>
          <w:sz w:val="16"/>
          <w:szCs w:val="16"/>
          <w:shd w:val="clear" w:color="auto" w:fill="FFFFFF"/>
        </w:rPr>
        <w:t>Spar</w:t>
      </w:r>
      <w:proofErr w:type="spellEnd"/>
      <w:r w:rsidRPr="00570D3B">
        <w:rPr>
          <w:rFonts w:ascii="Arial" w:hAnsi="Arial" w:cs="Arial"/>
          <w:sz w:val="16"/>
          <w:szCs w:val="16"/>
          <w:shd w:val="clear" w:color="auto" w:fill="FFFFFF"/>
        </w:rPr>
        <w:t>.</w:t>
      </w:r>
    </w:p>
    <w:p w14:paraId="704398EB" w14:textId="77777777" w:rsidR="00DD3069" w:rsidRPr="00570D3B" w:rsidRDefault="00DD3069" w:rsidP="00DD3069">
      <w:pPr>
        <w:pStyle w:val="Bezodstpw"/>
        <w:jc w:val="both"/>
        <w:rPr>
          <w:rFonts w:ascii="Arial" w:hAnsi="Arial" w:cs="Arial"/>
          <w:sz w:val="16"/>
          <w:szCs w:val="16"/>
          <w:shd w:val="clear" w:color="auto" w:fill="FFFFFF"/>
        </w:rPr>
      </w:pPr>
    </w:p>
    <w:p w14:paraId="7872E260" w14:textId="158FDD99" w:rsidR="00DD3069" w:rsidRPr="00570D3B" w:rsidRDefault="00DD3069" w:rsidP="00DD3069">
      <w:pPr>
        <w:pStyle w:val="Bezodstpw"/>
        <w:jc w:val="both"/>
        <w:rPr>
          <w:rFonts w:ascii="Arial" w:hAnsi="Arial" w:cs="Arial"/>
          <w:sz w:val="16"/>
          <w:szCs w:val="16"/>
          <w:shd w:val="clear" w:color="auto" w:fill="FFFFFF"/>
        </w:rPr>
      </w:pPr>
      <w:r w:rsidRPr="00570D3B">
        <w:rPr>
          <w:rFonts w:ascii="Arial" w:hAnsi="Arial" w:cs="Arial"/>
          <w:sz w:val="16"/>
          <w:szCs w:val="16"/>
          <w:shd w:val="clear" w:color="auto" w:fill="FFFFFF"/>
        </w:rPr>
        <w:t xml:space="preserve">Greenman Poland jest częścią </w:t>
      </w:r>
      <w:r w:rsidRPr="00570D3B">
        <w:rPr>
          <w:rFonts w:ascii="Arial" w:hAnsi="Arial" w:cs="Arial"/>
          <w:b/>
          <w:bCs/>
          <w:sz w:val="16"/>
          <w:szCs w:val="16"/>
          <w:shd w:val="clear" w:color="auto" w:fill="FFFFFF"/>
        </w:rPr>
        <w:t>Greenman Group</w:t>
      </w:r>
      <w:r w:rsidRPr="00570D3B">
        <w:rPr>
          <w:rFonts w:ascii="Arial" w:hAnsi="Arial" w:cs="Arial"/>
          <w:sz w:val="16"/>
          <w:szCs w:val="16"/>
          <w:shd w:val="clear" w:color="auto" w:fill="FFFFFF"/>
        </w:rPr>
        <w:t>, grupy spółek zależnych, obejmującej podmioty podlegające regulacjom Centralnego Banku Irlandii (CBI), CSSF i inne kontrolowane przez jeden podmiot – Greenman Holdings Limited. Grupa powstała w 2020 roku, jej główna siedziba znajduje się w Dublinie</w:t>
      </w:r>
      <w:r w:rsidR="00DF69EC" w:rsidRPr="00570D3B">
        <w:rPr>
          <w:rFonts w:ascii="Arial" w:hAnsi="Arial" w:cs="Arial"/>
          <w:sz w:val="16"/>
          <w:szCs w:val="16"/>
          <w:shd w:val="clear" w:color="auto" w:fill="FFFFFF"/>
        </w:rPr>
        <w:t xml:space="preserve"> w Irlandii</w:t>
      </w:r>
      <w:r w:rsidRPr="00570D3B">
        <w:rPr>
          <w:rFonts w:ascii="Arial" w:hAnsi="Arial" w:cs="Arial"/>
          <w:sz w:val="16"/>
          <w:szCs w:val="16"/>
          <w:shd w:val="clear" w:color="auto" w:fill="FFFFFF"/>
        </w:rPr>
        <w:t>, a spółki zależne zatrudniają ok. 130 osób pracujących w 6 krajach i prowadzących działalność w 5 odrębnych obszarach biznesowych: usługi finansowe, nieruchomości, żywność i rolnictwo, media oraz zintegrowane sieci. Greenman Investments jest wiodącym na rynku, sektorowym funduszem inwestycyjnym Grupy, zarządzającym funduszem inwestycyjnym nieruchomości spożywczych. Fundusze Greenman Investment inwestują wyłącznie w parki handlowe i magazyny handlowe oparte na ofercie spożywczej</w:t>
      </w:r>
      <w:bookmarkEnd w:id="0"/>
    </w:p>
    <w:p w14:paraId="5E5F12DF" w14:textId="77777777" w:rsidR="009C13DF" w:rsidRPr="00570D3B" w:rsidRDefault="009C13DF" w:rsidP="008D0A85">
      <w:pPr>
        <w:pStyle w:val="Bezodstpw"/>
        <w:rPr>
          <w:rStyle w:val="Pogrubienie"/>
          <w:rFonts w:ascii="Arial" w:hAnsi="Arial" w:cs="Arial"/>
          <w:sz w:val="16"/>
          <w:szCs w:val="16"/>
        </w:rPr>
      </w:pPr>
    </w:p>
    <w:p w14:paraId="14F6F9D6" w14:textId="77777777" w:rsidR="002723AC" w:rsidRPr="00160F96" w:rsidRDefault="002723AC" w:rsidP="00931DF9">
      <w:pPr>
        <w:spacing w:line="240" w:lineRule="auto"/>
        <w:jc w:val="both"/>
        <w:rPr>
          <w:rFonts w:ascii="Arial" w:hAnsi="Arial" w:cs="Arial"/>
          <w:b/>
          <w:bCs/>
          <w:sz w:val="16"/>
          <w:szCs w:val="16"/>
        </w:rPr>
      </w:pPr>
    </w:p>
    <w:sectPr w:rsidR="002723AC" w:rsidRPr="00160F96" w:rsidSect="00332EEA">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B3CBE" w14:textId="77777777" w:rsidR="000A6635" w:rsidRDefault="000A6635" w:rsidP="002723AC">
      <w:pPr>
        <w:spacing w:after="0" w:line="240" w:lineRule="auto"/>
      </w:pPr>
      <w:r>
        <w:separator/>
      </w:r>
    </w:p>
  </w:endnote>
  <w:endnote w:type="continuationSeparator" w:id="0">
    <w:p w14:paraId="0189927C" w14:textId="77777777" w:rsidR="000A6635" w:rsidRDefault="000A6635"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5B269" w14:textId="77777777" w:rsidR="000A6635" w:rsidRDefault="000A6635" w:rsidP="002723AC">
      <w:pPr>
        <w:spacing w:after="0" w:line="240" w:lineRule="auto"/>
      </w:pPr>
      <w:r>
        <w:separator/>
      </w:r>
    </w:p>
  </w:footnote>
  <w:footnote w:type="continuationSeparator" w:id="0">
    <w:p w14:paraId="0C56B772" w14:textId="77777777" w:rsidR="000A6635" w:rsidRDefault="000A6635" w:rsidP="00272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94738" w14:textId="77777777" w:rsidR="002723AC" w:rsidRDefault="002723AC" w:rsidP="004564A2">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F2CEE"/>
    <w:multiLevelType w:val="hybridMultilevel"/>
    <w:tmpl w:val="AA5E87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3DD1C7D"/>
    <w:multiLevelType w:val="hybridMultilevel"/>
    <w:tmpl w:val="6988DF36"/>
    <w:lvl w:ilvl="0" w:tplc="0415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3253D31"/>
    <w:multiLevelType w:val="hybridMultilevel"/>
    <w:tmpl w:val="978C6A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EDF0468"/>
    <w:multiLevelType w:val="hybridMultilevel"/>
    <w:tmpl w:val="673E43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FFB6BB0"/>
    <w:multiLevelType w:val="hybridMultilevel"/>
    <w:tmpl w:val="975E573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8F13D3A"/>
    <w:multiLevelType w:val="hybridMultilevel"/>
    <w:tmpl w:val="30AC7C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59805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5416239">
    <w:abstractNumId w:val="2"/>
  </w:num>
  <w:num w:numId="3" w16cid:durableId="1906181101">
    <w:abstractNumId w:val="0"/>
  </w:num>
  <w:num w:numId="4" w16cid:durableId="1380595850">
    <w:abstractNumId w:val="3"/>
  </w:num>
  <w:num w:numId="5" w16cid:durableId="1081756214">
    <w:abstractNumId w:val="5"/>
  </w:num>
  <w:num w:numId="6" w16cid:durableId="775910011">
    <w:abstractNumId w:val="4"/>
  </w:num>
  <w:num w:numId="7" w16cid:durableId="509491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32C"/>
    <w:rsid w:val="00001C47"/>
    <w:rsid w:val="000023F7"/>
    <w:rsid w:val="000058B5"/>
    <w:rsid w:val="00005936"/>
    <w:rsid w:val="000116CD"/>
    <w:rsid w:val="000228F2"/>
    <w:rsid w:val="00022B43"/>
    <w:rsid w:val="000251A0"/>
    <w:rsid w:val="00025F88"/>
    <w:rsid w:val="00026A2C"/>
    <w:rsid w:val="00026EC4"/>
    <w:rsid w:val="0002756F"/>
    <w:rsid w:val="00031776"/>
    <w:rsid w:val="000328B9"/>
    <w:rsid w:val="0003332C"/>
    <w:rsid w:val="000369DF"/>
    <w:rsid w:val="00037C61"/>
    <w:rsid w:val="00040C53"/>
    <w:rsid w:val="00044345"/>
    <w:rsid w:val="00044902"/>
    <w:rsid w:val="0005213F"/>
    <w:rsid w:val="000548C3"/>
    <w:rsid w:val="00055212"/>
    <w:rsid w:val="00056128"/>
    <w:rsid w:val="00056582"/>
    <w:rsid w:val="00061296"/>
    <w:rsid w:val="00074719"/>
    <w:rsid w:val="0007538F"/>
    <w:rsid w:val="000771E2"/>
    <w:rsid w:val="00077D26"/>
    <w:rsid w:val="00080EF8"/>
    <w:rsid w:val="000839B3"/>
    <w:rsid w:val="000854AD"/>
    <w:rsid w:val="00087E69"/>
    <w:rsid w:val="00090383"/>
    <w:rsid w:val="00090BDE"/>
    <w:rsid w:val="0009252D"/>
    <w:rsid w:val="00092C6B"/>
    <w:rsid w:val="000932C8"/>
    <w:rsid w:val="0009573C"/>
    <w:rsid w:val="00096B09"/>
    <w:rsid w:val="00096EC2"/>
    <w:rsid w:val="00097653"/>
    <w:rsid w:val="000A1BE0"/>
    <w:rsid w:val="000A2597"/>
    <w:rsid w:val="000A2FCC"/>
    <w:rsid w:val="000A48A4"/>
    <w:rsid w:val="000A5297"/>
    <w:rsid w:val="000A5864"/>
    <w:rsid w:val="000A60BE"/>
    <w:rsid w:val="000A6635"/>
    <w:rsid w:val="000A719B"/>
    <w:rsid w:val="000A7626"/>
    <w:rsid w:val="000A7A51"/>
    <w:rsid w:val="000B0B9D"/>
    <w:rsid w:val="000B2580"/>
    <w:rsid w:val="000B3B8F"/>
    <w:rsid w:val="000B431C"/>
    <w:rsid w:val="000B51C3"/>
    <w:rsid w:val="000C0D29"/>
    <w:rsid w:val="000C137A"/>
    <w:rsid w:val="000C18A4"/>
    <w:rsid w:val="000C4F3F"/>
    <w:rsid w:val="000C6E3B"/>
    <w:rsid w:val="000D526D"/>
    <w:rsid w:val="000D62B9"/>
    <w:rsid w:val="000E16D7"/>
    <w:rsid w:val="000E208A"/>
    <w:rsid w:val="000E3835"/>
    <w:rsid w:val="000F433B"/>
    <w:rsid w:val="000F4F6C"/>
    <w:rsid w:val="000F4FE6"/>
    <w:rsid w:val="000F510B"/>
    <w:rsid w:val="000F5D5A"/>
    <w:rsid w:val="000F722D"/>
    <w:rsid w:val="000F770B"/>
    <w:rsid w:val="00102643"/>
    <w:rsid w:val="0010375A"/>
    <w:rsid w:val="00106CD3"/>
    <w:rsid w:val="00106EBF"/>
    <w:rsid w:val="001073B2"/>
    <w:rsid w:val="0011014B"/>
    <w:rsid w:val="00111E5B"/>
    <w:rsid w:val="001123DF"/>
    <w:rsid w:val="0011495F"/>
    <w:rsid w:val="0011570A"/>
    <w:rsid w:val="0011723E"/>
    <w:rsid w:val="0011791E"/>
    <w:rsid w:val="001307F8"/>
    <w:rsid w:val="00131809"/>
    <w:rsid w:val="00131CC3"/>
    <w:rsid w:val="00132B42"/>
    <w:rsid w:val="001332C5"/>
    <w:rsid w:val="001349B1"/>
    <w:rsid w:val="001351A4"/>
    <w:rsid w:val="0013767D"/>
    <w:rsid w:val="00140EFF"/>
    <w:rsid w:val="00142563"/>
    <w:rsid w:val="00142941"/>
    <w:rsid w:val="001432E1"/>
    <w:rsid w:val="0014477B"/>
    <w:rsid w:val="00145355"/>
    <w:rsid w:val="00145FE9"/>
    <w:rsid w:val="00150C6F"/>
    <w:rsid w:val="001510FD"/>
    <w:rsid w:val="00152C9A"/>
    <w:rsid w:val="001559FD"/>
    <w:rsid w:val="00155E51"/>
    <w:rsid w:val="001609D0"/>
    <w:rsid w:val="00160F96"/>
    <w:rsid w:val="001651A4"/>
    <w:rsid w:val="001655B8"/>
    <w:rsid w:val="0016769B"/>
    <w:rsid w:val="00172911"/>
    <w:rsid w:val="00172D9C"/>
    <w:rsid w:val="00174328"/>
    <w:rsid w:val="00181676"/>
    <w:rsid w:val="00181931"/>
    <w:rsid w:val="001825AF"/>
    <w:rsid w:val="00183B72"/>
    <w:rsid w:val="0018610B"/>
    <w:rsid w:val="00186187"/>
    <w:rsid w:val="0019391B"/>
    <w:rsid w:val="001944CC"/>
    <w:rsid w:val="001A1B05"/>
    <w:rsid w:val="001A1ECC"/>
    <w:rsid w:val="001A59D2"/>
    <w:rsid w:val="001A5E3E"/>
    <w:rsid w:val="001A6436"/>
    <w:rsid w:val="001A72D9"/>
    <w:rsid w:val="001A78E9"/>
    <w:rsid w:val="001B1F2A"/>
    <w:rsid w:val="001B5A9F"/>
    <w:rsid w:val="001B7B73"/>
    <w:rsid w:val="001C3948"/>
    <w:rsid w:val="001C7A54"/>
    <w:rsid w:val="001D0029"/>
    <w:rsid w:val="001D0CE4"/>
    <w:rsid w:val="001D15B3"/>
    <w:rsid w:val="001E015F"/>
    <w:rsid w:val="001E39B0"/>
    <w:rsid w:val="001E4728"/>
    <w:rsid w:val="001E4E9E"/>
    <w:rsid w:val="001E75BE"/>
    <w:rsid w:val="001F27B3"/>
    <w:rsid w:val="001F3E16"/>
    <w:rsid w:val="001F4B56"/>
    <w:rsid w:val="001F5A2A"/>
    <w:rsid w:val="001F74E0"/>
    <w:rsid w:val="002017A3"/>
    <w:rsid w:val="00202EA3"/>
    <w:rsid w:val="00205688"/>
    <w:rsid w:val="00206B86"/>
    <w:rsid w:val="00207D6A"/>
    <w:rsid w:val="0021029F"/>
    <w:rsid w:val="00211409"/>
    <w:rsid w:val="00211469"/>
    <w:rsid w:val="00212654"/>
    <w:rsid w:val="00213186"/>
    <w:rsid w:val="002145E1"/>
    <w:rsid w:val="00215DDF"/>
    <w:rsid w:val="002168C6"/>
    <w:rsid w:val="002168F7"/>
    <w:rsid w:val="00216B68"/>
    <w:rsid w:val="00220C25"/>
    <w:rsid w:val="0022236B"/>
    <w:rsid w:val="0022347E"/>
    <w:rsid w:val="00225C57"/>
    <w:rsid w:val="00227AC0"/>
    <w:rsid w:val="0023103B"/>
    <w:rsid w:val="002330B9"/>
    <w:rsid w:val="002335E1"/>
    <w:rsid w:val="00235013"/>
    <w:rsid w:val="00235045"/>
    <w:rsid w:val="0023631F"/>
    <w:rsid w:val="0023689C"/>
    <w:rsid w:val="00236A74"/>
    <w:rsid w:val="002377A8"/>
    <w:rsid w:val="002377CC"/>
    <w:rsid w:val="00237A55"/>
    <w:rsid w:val="0024257D"/>
    <w:rsid w:val="002447DE"/>
    <w:rsid w:val="00245D29"/>
    <w:rsid w:val="002471BA"/>
    <w:rsid w:val="00255253"/>
    <w:rsid w:val="00261DFB"/>
    <w:rsid w:val="00262A0F"/>
    <w:rsid w:val="00271C29"/>
    <w:rsid w:val="00272212"/>
    <w:rsid w:val="002723AC"/>
    <w:rsid w:val="002723F7"/>
    <w:rsid w:val="00273C93"/>
    <w:rsid w:val="002747A2"/>
    <w:rsid w:val="002824A2"/>
    <w:rsid w:val="00284270"/>
    <w:rsid w:val="002844D2"/>
    <w:rsid w:val="00287CDF"/>
    <w:rsid w:val="00287F1A"/>
    <w:rsid w:val="002923CF"/>
    <w:rsid w:val="00292F28"/>
    <w:rsid w:val="002944C2"/>
    <w:rsid w:val="00295B83"/>
    <w:rsid w:val="00296A5D"/>
    <w:rsid w:val="002A4942"/>
    <w:rsid w:val="002A4EE0"/>
    <w:rsid w:val="002A4F07"/>
    <w:rsid w:val="002B2F5A"/>
    <w:rsid w:val="002B3150"/>
    <w:rsid w:val="002B3428"/>
    <w:rsid w:val="002B46E0"/>
    <w:rsid w:val="002B6EA9"/>
    <w:rsid w:val="002B79E8"/>
    <w:rsid w:val="002C0C31"/>
    <w:rsid w:val="002C1566"/>
    <w:rsid w:val="002C1B22"/>
    <w:rsid w:val="002C3691"/>
    <w:rsid w:val="002C6A4F"/>
    <w:rsid w:val="002D2809"/>
    <w:rsid w:val="002D3940"/>
    <w:rsid w:val="002E1147"/>
    <w:rsid w:val="002E12C2"/>
    <w:rsid w:val="002E1309"/>
    <w:rsid w:val="002E2874"/>
    <w:rsid w:val="002E4BE8"/>
    <w:rsid w:val="002E5001"/>
    <w:rsid w:val="002E6589"/>
    <w:rsid w:val="002E685D"/>
    <w:rsid w:val="002E6E25"/>
    <w:rsid w:val="002E7101"/>
    <w:rsid w:val="002F09AE"/>
    <w:rsid w:val="002F0BC4"/>
    <w:rsid w:val="002F229E"/>
    <w:rsid w:val="002F3998"/>
    <w:rsid w:val="002F596C"/>
    <w:rsid w:val="002F5D2F"/>
    <w:rsid w:val="00300B14"/>
    <w:rsid w:val="00302448"/>
    <w:rsid w:val="003070FF"/>
    <w:rsid w:val="00314EBA"/>
    <w:rsid w:val="00315E29"/>
    <w:rsid w:val="00317D71"/>
    <w:rsid w:val="003228C4"/>
    <w:rsid w:val="00324F7A"/>
    <w:rsid w:val="003265E8"/>
    <w:rsid w:val="00332EEA"/>
    <w:rsid w:val="003334F2"/>
    <w:rsid w:val="00333DA7"/>
    <w:rsid w:val="00335BC1"/>
    <w:rsid w:val="00335D64"/>
    <w:rsid w:val="00336EBB"/>
    <w:rsid w:val="00337DA0"/>
    <w:rsid w:val="00342A3B"/>
    <w:rsid w:val="00343E3F"/>
    <w:rsid w:val="00344F29"/>
    <w:rsid w:val="003476A8"/>
    <w:rsid w:val="00350BB7"/>
    <w:rsid w:val="00353336"/>
    <w:rsid w:val="00357D27"/>
    <w:rsid w:val="00360683"/>
    <w:rsid w:val="00361988"/>
    <w:rsid w:val="00364728"/>
    <w:rsid w:val="00366880"/>
    <w:rsid w:val="00367992"/>
    <w:rsid w:val="00367A34"/>
    <w:rsid w:val="00370661"/>
    <w:rsid w:val="00371B5B"/>
    <w:rsid w:val="003739DE"/>
    <w:rsid w:val="003814D5"/>
    <w:rsid w:val="00383DA2"/>
    <w:rsid w:val="003856DD"/>
    <w:rsid w:val="00385BF4"/>
    <w:rsid w:val="003915EA"/>
    <w:rsid w:val="00391FC9"/>
    <w:rsid w:val="003973E6"/>
    <w:rsid w:val="003A1FDB"/>
    <w:rsid w:val="003A7318"/>
    <w:rsid w:val="003B4F8D"/>
    <w:rsid w:val="003B4FC3"/>
    <w:rsid w:val="003B650C"/>
    <w:rsid w:val="003B711D"/>
    <w:rsid w:val="003B7357"/>
    <w:rsid w:val="003C09DE"/>
    <w:rsid w:val="003C1F5D"/>
    <w:rsid w:val="003C2303"/>
    <w:rsid w:val="003C6339"/>
    <w:rsid w:val="003D0378"/>
    <w:rsid w:val="003D1B6C"/>
    <w:rsid w:val="003D1D27"/>
    <w:rsid w:val="003D3FF0"/>
    <w:rsid w:val="003D4550"/>
    <w:rsid w:val="003D476A"/>
    <w:rsid w:val="003D4C23"/>
    <w:rsid w:val="003D5F0B"/>
    <w:rsid w:val="003E2392"/>
    <w:rsid w:val="003E4A84"/>
    <w:rsid w:val="003E7545"/>
    <w:rsid w:val="003F5329"/>
    <w:rsid w:val="004006E0"/>
    <w:rsid w:val="00405666"/>
    <w:rsid w:val="00406448"/>
    <w:rsid w:val="004064C4"/>
    <w:rsid w:val="00407450"/>
    <w:rsid w:val="00411A3C"/>
    <w:rsid w:val="00412057"/>
    <w:rsid w:val="0041268C"/>
    <w:rsid w:val="00416D80"/>
    <w:rsid w:val="00417500"/>
    <w:rsid w:val="00417646"/>
    <w:rsid w:val="0042084C"/>
    <w:rsid w:val="00421386"/>
    <w:rsid w:val="00421D8A"/>
    <w:rsid w:val="00422247"/>
    <w:rsid w:val="00425AFB"/>
    <w:rsid w:val="00425E03"/>
    <w:rsid w:val="004262D4"/>
    <w:rsid w:val="00426B33"/>
    <w:rsid w:val="004306AB"/>
    <w:rsid w:val="004308E8"/>
    <w:rsid w:val="004319C1"/>
    <w:rsid w:val="0043219C"/>
    <w:rsid w:val="00434953"/>
    <w:rsid w:val="00435C7A"/>
    <w:rsid w:val="004420BE"/>
    <w:rsid w:val="004426C1"/>
    <w:rsid w:val="00443AAE"/>
    <w:rsid w:val="00446054"/>
    <w:rsid w:val="00446063"/>
    <w:rsid w:val="00446084"/>
    <w:rsid w:val="004468C7"/>
    <w:rsid w:val="00446C9E"/>
    <w:rsid w:val="004474C3"/>
    <w:rsid w:val="00450C5E"/>
    <w:rsid w:val="00452A6C"/>
    <w:rsid w:val="00456051"/>
    <w:rsid w:val="004564A2"/>
    <w:rsid w:val="00460B55"/>
    <w:rsid w:val="00462BC1"/>
    <w:rsid w:val="00463086"/>
    <w:rsid w:val="00464718"/>
    <w:rsid w:val="00464F97"/>
    <w:rsid w:val="0046527F"/>
    <w:rsid w:val="004725E3"/>
    <w:rsid w:val="00476961"/>
    <w:rsid w:val="00476F17"/>
    <w:rsid w:val="00477F92"/>
    <w:rsid w:val="00482FF9"/>
    <w:rsid w:val="00483396"/>
    <w:rsid w:val="00483FC0"/>
    <w:rsid w:val="00484510"/>
    <w:rsid w:val="00485994"/>
    <w:rsid w:val="00486677"/>
    <w:rsid w:val="00486BAB"/>
    <w:rsid w:val="004870BE"/>
    <w:rsid w:val="0049003E"/>
    <w:rsid w:val="0049081B"/>
    <w:rsid w:val="004947F8"/>
    <w:rsid w:val="00495C91"/>
    <w:rsid w:val="004A0A11"/>
    <w:rsid w:val="004A0F13"/>
    <w:rsid w:val="004A147A"/>
    <w:rsid w:val="004A4618"/>
    <w:rsid w:val="004B154D"/>
    <w:rsid w:val="004B2E07"/>
    <w:rsid w:val="004B46C7"/>
    <w:rsid w:val="004B4C8C"/>
    <w:rsid w:val="004B6626"/>
    <w:rsid w:val="004B6E7A"/>
    <w:rsid w:val="004B6EC1"/>
    <w:rsid w:val="004B75D0"/>
    <w:rsid w:val="004C0191"/>
    <w:rsid w:val="004C1202"/>
    <w:rsid w:val="004C3193"/>
    <w:rsid w:val="004C3E66"/>
    <w:rsid w:val="004C7BD8"/>
    <w:rsid w:val="004D2B99"/>
    <w:rsid w:val="004D3B34"/>
    <w:rsid w:val="004D3DA0"/>
    <w:rsid w:val="004D4AA5"/>
    <w:rsid w:val="004D5075"/>
    <w:rsid w:val="004D6649"/>
    <w:rsid w:val="004D6A4E"/>
    <w:rsid w:val="004D6D08"/>
    <w:rsid w:val="004D6F3B"/>
    <w:rsid w:val="004D7AEE"/>
    <w:rsid w:val="004D7B4C"/>
    <w:rsid w:val="004E0C35"/>
    <w:rsid w:val="004E312B"/>
    <w:rsid w:val="004F1F7C"/>
    <w:rsid w:val="004F2DDF"/>
    <w:rsid w:val="004F66D9"/>
    <w:rsid w:val="004F7298"/>
    <w:rsid w:val="00500369"/>
    <w:rsid w:val="0050392C"/>
    <w:rsid w:val="00507EF9"/>
    <w:rsid w:val="00510332"/>
    <w:rsid w:val="00510D87"/>
    <w:rsid w:val="00511D1E"/>
    <w:rsid w:val="00512C5E"/>
    <w:rsid w:val="00513491"/>
    <w:rsid w:val="00515FB5"/>
    <w:rsid w:val="005171C1"/>
    <w:rsid w:val="0052016B"/>
    <w:rsid w:val="00520665"/>
    <w:rsid w:val="00521787"/>
    <w:rsid w:val="00524FA7"/>
    <w:rsid w:val="00532370"/>
    <w:rsid w:val="00532C4D"/>
    <w:rsid w:val="005346F9"/>
    <w:rsid w:val="00535069"/>
    <w:rsid w:val="005418BB"/>
    <w:rsid w:val="0054484A"/>
    <w:rsid w:val="00553866"/>
    <w:rsid w:val="0055386D"/>
    <w:rsid w:val="0055724C"/>
    <w:rsid w:val="0056186D"/>
    <w:rsid w:val="00561E29"/>
    <w:rsid w:val="00562C93"/>
    <w:rsid w:val="00563B62"/>
    <w:rsid w:val="00565D93"/>
    <w:rsid w:val="005664F0"/>
    <w:rsid w:val="005666CC"/>
    <w:rsid w:val="00566D72"/>
    <w:rsid w:val="00570D3B"/>
    <w:rsid w:val="00570F9A"/>
    <w:rsid w:val="00574BBE"/>
    <w:rsid w:val="00575E1E"/>
    <w:rsid w:val="00577638"/>
    <w:rsid w:val="00580632"/>
    <w:rsid w:val="005809D3"/>
    <w:rsid w:val="005826D3"/>
    <w:rsid w:val="005827C7"/>
    <w:rsid w:val="005837C7"/>
    <w:rsid w:val="005862A5"/>
    <w:rsid w:val="005878B0"/>
    <w:rsid w:val="00590FD2"/>
    <w:rsid w:val="005925F4"/>
    <w:rsid w:val="00592DD6"/>
    <w:rsid w:val="00596011"/>
    <w:rsid w:val="00597100"/>
    <w:rsid w:val="005A07B0"/>
    <w:rsid w:val="005A2773"/>
    <w:rsid w:val="005A418C"/>
    <w:rsid w:val="005A5C85"/>
    <w:rsid w:val="005B0220"/>
    <w:rsid w:val="005B0388"/>
    <w:rsid w:val="005B040C"/>
    <w:rsid w:val="005B1362"/>
    <w:rsid w:val="005B32F2"/>
    <w:rsid w:val="005B4612"/>
    <w:rsid w:val="005C066C"/>
    <w:rsid w:val="005C0880"/>
    <w:rsid w:val="005C4EDB"/>
    <w:rsid w:val="005C5CF7"/>
    <w:rsid w:val="005D0445"/>
    <w:rsid w:val="005D3431"/>
    <w:rsid w:val="005D4BBD"/>
    <w:rsid w:val="005D6A2C"/>
    <w:rsid w:val="005D6F0A"/>
    <w:rsid w:val="005E2190"/>
    <w:rsid w:val="005E4BE2"/>
    <w:rsid w:val="005E4E4D"/>
    <w:rsid w:val="005E6C02"/>
    <w:rsid w:val="005F009B"/>
    <w:rsid w:val="005F0FCF"/>
    <w:rsid w:val="005F4452"/>
    <w:rsid w:val="005F61D0"/>
    <w:rsid w:val="005F7E89"/>
    <w:rsid w:val="00604A17"/>
    <w:rsid w:val="006108AF"/>
    <w:rsid w:val="006119A7"/>
    <w:rsid w:val="00613C40"/>
    <w:rsid w:val="006147A2"/>
    <w:rsid w:val="0061515F"/>
    <w:rsid w:val="006152B6"/>
    <w:rsid w:val="0061683E"/>
    <w:rsid w:val="0062219B"/>
    <w:rsid w:val="0062288B"/>
    <w:rsid w:val="00622A67"/>
    <w:rsid w:val="00622BE9"/>
    <w:rsid w:val="00622C6F"/>
    <w:rsid w:val="00622CB4"/>
    <w:rsid w:val="00623582"/>
    <w:rsid w:val="0062363E"/>
    <w:rsid w:val="006250FC"/>
    <w:rsid w:val="00632E3C"/>
    <w:rsid w:val="006367F5"/>
    <w:rsid w:val="00636EF0"/>
    <w:rsid w:val="00637BC2"/>
    <w:rsid w:val="0064000C"/>
    <w:rsid w:val="00641ACD"/>
    <w:rsid w:val="00642D78"/>
    <w:rsid w:val="006432D9"/>
    <w:rsid w:val="006440D3"/>
    <w:rsid w:val="006465BC"/>
    <w:rsid w:val="0064666A"/>
    <w:rsid w:val="00646CB0"/>
    <w:rsid w:val="00655B95"/>
    <w:rsid w:val="00660288"/>
    <w:rsid w:val="00660B43"/>
    <w:rsid w:val="0066278F"/>
    <w:rsid w:val="006630BE"/>
    <w:rsid w:val="0066449F"/>
    <w:rsid w:val="00670034"/>
    <w:rsid w:val="00674983"/>
    <w:rsid w:val="00675BCB"/>
    <w:rsid w:val="006802D5"/>
    <w:rsid w:val="00683378"/>
    <w:rsid w:val="00683881"/>
    <w:rsid w:val="00683E71"/>
    <w:rsid w:val="00686476"/>
    <w:rsid w:val="00686C2F"/>
    <w:rsid w:val="00686F7F"/>
    <w:rsid w:val="006870ED"/>
    <w:rsid w:val="00693BBF"/>
    <w:rsid w:val="006A3357"/>
    <w:rsid w:val="006A51CB"/>
    <w:rsid w:val="006A53C1"/>
    <w:rsid w:val="006A67F9"/>
    <w:rsid w:val="006A7339"/>
    <w:rsid w:val="006B1A99"/>
    <w:rsid w:val="006B20DA"/>
    <w:rsid w:val="006B2AA3"/>
    <w:rsid w:val="006B3DB2"/>
    <w:rsid w:val="006B4083"/>
    <w:rsid w:val="006B6BC5"/>
    <w:rsid w:val="006B7C08"/>
    <w:rsid w:val="006C0E8A"/>
    <w:rsid w:val="006C50EC"/>
    <w:rsid w:val="006C798E"/>
    <w:rsid w:val="006D0637"/>
    <w:rsid w:val="006D0F9D"/>
    <w:rsid w:val="006D1877"/>
    <w:rsid w:val="006D2E89"/>
    <w:rsid w:val="006D44B5"/>
    <w:rsid w:val="006E0458"/>
    <w:rsid w:val="006E135C"/>
    <w:rsid w:val="006E1F57"/>
    <w:rsid w:val="006E3C92"/>
    <w:rsid w:val="006F010A"/>
    <w:rsid w:val="006F0BF3"/>
    <w:rsid w:val="006F1103"/>
    <w:rsid w:val="006F6C6B"/>
    <w:rsid w:val="0070092E"/>
    <w:rsid w:val="00702595"/>
    <w:rsid w:val="00702F3A"/>
    <w:rsid w:val="0070562F"/>
    <w:rsid w:val="00705AE8"/>
    <w:rsid w:val="00705AED"/>
    <w:rsid w:val="00710D2B"/>
    <w:rsid w:val="0071229B"/>
    <w:rsid w:val="00715CD6"/>
    <w:rsid w:val="00715E56"/>
    <w:rsid w:val="0071709B"/>
    <w:rsid w:val="00722480"/>
    <w:rsid w:val="007237A2"/>
    <w:rsid w:val="00735BA4"/>
    <w:rsid w:val="007376A0"/>
    <w:rsid w:val="007377D6"/>
    <w:rsid w:val="0073794C"/>
    <w:rsid w:val="0074159D"/>
    <w:rsid w:val="00747F3E"/>
    <w:rsid w:val="00755283"/>
    <w:rsid w:val="00756EBD"/>
    <w:rsid w:val="00757824"/>
    <w:rsid w:val="00760A3E"/>
    <w:rsid w:val="007641E1"/>
    <w:rsid w:val="00764DD7"/>
    <w:rsid w:val="00765408"/>
    <w:rsid w:val="00765FA8"/>
    <w:rsid w:val="007665A1"/>
    <w:rsid w:val="0076670C"/>
    <w:rsid w:val="00767655"/>
    <w:rsid w:val="0077174C"/>
    <w:rsid w:val="007729CF"/>
    <w:rsid w:val="00772A32"/>
    <w:rsid w:val="00773BD1"/>
    <w:rsid w:val="00776997"/>
    <w:rsid w:val="007771F1"/>
    <w:rsid w:val="0077789E"/>
    <w:rsid w:val="007800FF"/>
    <w:rsid w:val="00780B44"/>
    <w:rsid w:val="007863C9"/>
    <w:rsid w:val="0078689B"/>
    <w:rsid w:val="00787F94"/>
    <w:rsid w:val="007930F7"/>
    <w:rsid w:val="007931B7"/>
    <w:rsid w:val="0079451E"/>
    <w:rsid w:val="007951F5"/>
    <w:rsid w:val="00797E96"/>
    <w:rsid w:val="007A1253"/>
    <w:rsid w:val="007A2790"/>
    <w:rsid w:val="007A43A0"/>
    <w:rsid w:val="007A5B56"/>
    <w:rsid w:val="007A6401"/>
    <w:rsid w:val="007A7553"/>
    <w:rsid w:val="007B0EFB"/>
    <w:rsid w:val="007B11F3"/>
    <w:rsid w:val="007B2D22"/>
    <w:rsid w:val="007B319E"/>
    <w:rsid w:val="007B5E8F"/>
    <w:rsid w:val="007B73F7"/>
    <w:rsid w:val="007B7FE4"/>
    <w:rsid w:val="007C40CD"/>
    <w:rsid w:val="007C5ED4"/>
    <w:rsid w:val="007D1106"/>
    <w:rsid w:val="007D14C8"/>
    <w:rsid w:val="007D471D"/>
    <w:rsid w:val="007D4B17"/>
    <w:rsid w:val="007D4CF2"/>
    <w:rsid w:val="007D6889"/>
    <w:rsid w:val="007D7EBE"/>
    <w:rsid w:val="007E026C"/>
    <w:rsid w:val="007E412C"/>
    <w:rsid w:val="007E4EED"/>
    <w:rsid w:val="007E554B"/>
    <w:rsid w:val="007E682C"/>
    <w:rsid w:val="007E7EFE"/>
    <w:rsid w:val="007F10F6"/>
    <w:rsid w:val="007F4308"/>
    <w:rsid w:val="007F67EA"/>
    <w:rsid w:val="007F691E"/>
    <w:rsid w:val="007F766B"/>
    <w:rsid w:val="007F76A0"/>
    <w:rsid w:val="008015C0"/>
    <w:rsid w:val="00802B3F"/>
    <w:rsid w:val="00805209"/>
    <w:rsid w:val="008111CB"/>
    <w:rsid w:val="00813EB2"/>
    <w:rsid w:val="008142C3"/>
    <w:rsid w:val="008218D0"/>
    <w:rsid w:val="0082213E"/>
    <w:rsid w:val="00823D32"/>
    <w:rsid w:val="008256B4"/>
    <w:rsid w:val="008313F1"/>
    <w:rsid w:val="00835C08"/>
    <w:rsid w:val="008363C9"/>
    <w:rsid w:val="0084107E"/>
    <w:rsid w:val="00844E3C"/>
    <w:rsid w:val="0084676F"/>
    <w:rsid w:val="00846BF0"/>
    <w:rsid w:val="008501D2"/>
    <w:rsid w:val="00852E3F"/>
    <w:rsid w:val="00854BEC"/>
    <w:rsid w:val="008561B4"/>
    <w:rsid w:val="0086436C"/>
    <w:rsid w:val="00865044"/>
    <w:rsid w:val="00865AB8"/>
    <w:rsid w:val="00865D87"/>
    <w:rsid w:val="00866151"/>
    <w:rsid w:val="008665A7"/>
    <w:rsid w:val="00866755"/>
    <w:rsid w:val="00870883"/>
    <w:rsid w:val="008713B7"/>
    <w:rsid w:val="00872DC4"/>
    <w:rsid w:val="00881843"/>
    <w:rsid w:val="008824C2"/>
    <w:rsid w:val="00886617"/>
    <w:rsid w:val="00886B0B"/>
    <w:rsid w:val="00890F9E"/>
    <w:rsid w:val="00892306"/>
    <w:rsid w:val="00895A74"/>
    <w:rsid w:val="00897E35"/>
    <w:rsid w:val="008A0158"/>
    <w:rsid w:val="008A33D2"/>
    <w:rsid w:val="008A34D7"/>
    <w:rsid w:val="008A55AB"/>
    <w:rsid w:val="008A7201"/>
    <w:rsid w:val="008B11AF"/>
    <w:rsid w:val="008B45D2"/>
    <w:rsid w:val="008C2239"/>
    <w:rsid w:val="008C3E79"/>
    <w:rsid w:val="008C4665"/>
    <w:rsid w:val="008C65AA"/>
    <w:rsid w:val="008C6ED0"/>
    <w:rsid w:val="008D0A85"/>
    <w:rsid w:val="008D37CE"/>
    <w:rsid w:val="008D5198"/>
    <w:rsid w:val="008D5F27"/>
    <w:rsid w:val="008D6016"/>
    <w:rsid w:val="008E3F85"/>
    <w:rsid w:val="008E4B38"/>
    <w:rsid w:val="008E5D5A"/>
    <w:rsid w:val="008F0E04"/>
    <w:rsid w:val="008F7B3E"/>
    <w:rsid w:val="009032C6"/>
    <w:rsid w:val="00907C38"/>
    <w:rsid w:val="00907F43"/>
    <w:rsid w:val="00910925"/>
    <w:rsid w:val="0091145D"/>
    <w:rsid w:val="0091152E"/>
    <w:rsid w:val="00911BA9"/>
    <w:rsid w:val="00911D4A"/>
    <w:rsid w:val="00915B9C"/>
    <w:rsid w:val="009171A7"/>
    <w:rsid w:val="00923023"/>
    <w:rsid w:val="009248B9"/>
    <w:rsid w:val="00925476"/>
    <w:rsid w:val="00926FC0"/>
    <w:rsid w:val="00927B0E"/>
    <w:rsid w:val="00931348"/>
    <w:rsid w:val="00931DF9"/>
    <w:rsid w:val="00932F5E"/>
    <w:rsid w:val="0093346F"/>
    <w:rsid w:val="009350B1"/>
    <w:rsid w:val="00935460"/>
    <w:rsid w:val="00935E53"/>
    <w:rsid w:val="00937FE1"/>
    <w:rsid w:val="00944033"/>
    <w:rsid w:val="00944F16"/>
    <w:rsid w:val="009450B4"/>
    <w:rsid w:val="00950E4D"/>
    <w:rsid w:val="00955042"/>
    <w:rsid w:val="009562F8"/>
    <w:rsid w:val="00956DFF"/>
    <w:rsid w:val="00956F86"/>
    <w:rsid w:val="00960679"/>
    <w:rsid w:val="00964376"/>
    <w:rsid w:val="00965E40"/>
    <w:rsid w:val="00967A39"/>
    <w:rsid w:val="0097179A"/>
    <w:rsid w:val="009733C8"/>
    <w:rsid w:val="00973C99"/>
    <w:rsid w:val="00974185"/>
    <w:rsid w:val="009759B4"/>
    <w:rsid w:val="009773EF"/>
    <w:rsid w:val="00977836"/>
    <w:rsid w:val="009806AD"/>
    <w:rsid w:val="00982AE8"/>
    <w:rsid w:val="009876EC"/>
    <w:rsid w:val="00987EDD"/>
    <w:rsid w:val="009A1693"/>
    <w:rsid w:val="009A31C8"/>
    <w:rsid w:val="009A3CBB"/>
    <w:rsid w:val="009B19C7"/>
    <w:rsid w:val="009B1F71"/>
    <w:rsid w:val="009B4AC7"/>
    <w:rsid w:val="009B4AE2"/>
    <w:rsid w:val="009B4F6A"/>
    <w:rsid w:val="009B5FD4"/>
    <w:rsid w:val="009B6D4B"/>
    <w:rsid w:val="009C127F"/>
    <w:rsid w:val="009C13DF"/>
    <w:rsid w:val="009C22C6"/>
    <w:rsid w:val="009C2A0F"/>
    <w:rsid w:val="009C6733"/>
    <w:rsid w:val="009D68ED"/>
    <w:rsid w:val="009D7149"/>
    <w:rsid w:val="009D72E7"/>
    <w:rsid w:val="009D7BF4"/>
    <w:rsid w:val="009E1D49"/>
    <w:rsid w:val="009E217C"/>
    <w:rsid w:val="009E43CD"/>
    <w:rsid w:val="009E7110"/>
    <w:rsid w:val="009E7401"/>
    <w:rsid w:val="009F09FA"/>
    <w:rsid w:val="009F16FB"/>
    <w:rsid w:val="009F75C1"/>
    <w:rsid w:val="00A02908"/>
    <w:rsid w:val="00A03244"/>
    <w:rsid w:val="00A05C43"/>
    <w:rsid w:val="00A0608F"/>
    <w:rsid w:val="00A1059A"/>
    <w:rsid w:val="00A10606"/>
    <w:rsid w:val="00A10D67"/>
    <w:rsid w:val="00A11D0A"/>
    <w:rsid w:val="00A129D7"/>
    <w:rsid w:val="00A13EF7"/>
    <w:rsid w:val="00A15485"/>
    <w:rsid w:val="00A155D5"/>
    <w:rsid w:val="00A169C8"/>
    <w:rsid w:val="00A16CAA"/>
    <w:rsid w:val="00A21DED"/>
    <w:rsid w:val="00A24606"/>
    <w:rsid w:val="00A2563A"/>
    <w:rsid w:val="00A25CD0"/>
    <w:rsid w:val="00A26428"/>
    <w:rsid w:val="00A316EF"/>
    <w:rsid w:val="00A33C1E"/>
    <w:rsid w:val="00A34F6B"/>
    <w:rsid w:val="00A370F1"/>
    <w:rsid w:val="00A37BD5"/>
    <w:rsid w:val="00A42158"/>
    <w:rsid w:val="00A425FD"/>
    <w:rsid w:val="00A43C5C"/>
    <w:rsid w:val="00A446AF"/>
    <w:rsid w:val="00A45668"/>
    <w:rsid w:val="00A47F74"/>
    <w:rsid w:val="00A5206A"/>
    <w:rsid w:val="00A5208D"/>
    <w:rsid w:val="00A53B5B"/>
    <w:rsid w:val="00A54387"/>
    <w:rsid w:val="00A572B4"/>
    <w:rsid w:val="00A63043"/>
    <w:rsid w:val="00A642DC"/>
    <w:rsid w:val="00A65412"/>
    <w:rsid w:val="00A66051"/>
    <w:rsid w:val="00A673EA"/>
    <w:rsid w:val="00A7290B"/>
    <w:rsid w:val="00A738BD"/>
    <w:rsid w:val="00A7565F"/>
    <w:rsid w:val="00A81AAA"/>
    <w:rsid w:val="00A832E0"/>
    <w:rsid w:val="00A8596C"/>
    <w:rsid w:val="00A862F2"/>
    <w:rsid w:val="00A879BE"/>
    <w:rsid w:val="00A92224"/>
    <w:rsid w:val="00A93077"/>
    <w:rsid w:val="00A936C9"/>
    <w:rsid w:val="00AA1F3F"/>
    <w:rsid w:val="00AA1FD5"/>
    <w:rsid w:val="00AA5378"/>
    <w:rsid w:val="00AA64BD"/>
    <w:rsid w:val="00AB07A4"/>
    <w:rsid w:val="00AB4B30"/>
    <w:rsid w:val="00AC5844"/>
    <w:rsid w:val="00AD176F"/>
    <w:rsid w:val="00AD2668"/>
    <w:rsid w:val="00AD3D76"/>
    <w:rsid w:val="00AD424A"/>
    <w:rsid w:val="00AD6315"/>
    <w:rsid w:val="00AD7E3D"/>
    <w:rsid w:val="00AE14F7"/>
    <w:rsid w:val="00AE1745"/>
    <w:rsid w:val="00AE5D64"/>
    <w:rsid w:val="00AF0BDB"/>
    <w:rsid w:val="00AF14F8"/>
    <w:rsid w:val="00AF71B5"/>
    <w:rsid w:val="00B02BCB"/>
    <w:rsid w:val="00B1211F"/>
    <w:rsid w:val="00B12A21"/>
    <w:rsid w:val="00B1641C"/>
    <w:rsid w:val="00B166EB"/>
    <w:rsid w:val="00B21887"/>
    <w:rsid w:val="00B22E80"/>
    <w:rsid w:val="00B25628"/>
    <w:rsid w:val="00B26098"/>
    <w:rsid w:val="00B26707"/>
    <w:rsid w:val="00B26BBB"/>
    <w:rsid w:val="00B2770E"/>
    <w:rsid w:val="00B31475"/>
    <w:rsid w:val="00B337F4"/>
    <w:rsid w:val="00B36465"/>
    <w:rsid w:val="00B41F7E"/>
    <w:rsid w:val="00B45C8E"/>
    <w:rsid w:val="00B46ACA"/>
    <w:rsid w:val="00B479A3"/>
    <w:rsid w:val="00B617BF"/>
    <w:rsid w:val="00B62983"/>
    <w:rsid w:val="00B73F2A"/>
    <w:rsid w:val="00B7707E"/>
    <w:rsid w:val="00B86427"/>
    <w:rsid w:val="00B872FF"/>
    <w:rsid w:val="00B8744C"/>
    <w:rsid w:val="00B92FB7"/>
    <w:rsid w:val="00BA304E"/>
    <w:rsid w:val="00BA7029"/>
    <w:rsid w:val="00BA743A"/>
    <w:rsid w:val="00BB3B24"/>
    <w:rsid w:val="00BB4041"/>
    <w:rsid w:val="00BB502B"/>
    <w:rsid w:val="00BB541B"/>
    <w:rsid w:val="00BB605A"/>
    <w:rsid w:val="00BB69C9"/>
    <w:rsid w:val="00BB6C0C"/>
    <w:rsid w:val="00BC166F"/>
    <w:rsid w:val="00BC1B9F"/>
    <w:rsid w:val="00BC2834"/>
    <w:rsid w:val="00BC66AF"/>
    <w:rsid w:val="00BC6EFE"/>
    <w:rsid w:val="00BC7278"/>
    <w:rsid w:val="00BD32CE"/>
    <w:rsid w:val="00BE0FD4"/>
    <w:rsid w:val="00BE22C7"/>
    <w:rsid w:val="00BF1D9D"/>
    <w:rsid w:val="00BF2734"/>
    <w:rsid w:val="00BF2C9B"/>
    <w:rsid w:val="00BF4532"/>
    <w:rsid w:val="00BF52E9"/>
    <w:rsid w:val="00BF55A9"/>
    <w:rsid w:val="00BF7846"/>
    <w:rsid w:val="00C01DF8"/>
    <w:rsid w:val="00C02823"/>
    <w:rsid w:val="00C051CC"/>
    <w:rsid w:val="00C058C1"/>
    <w:rsid w:val="00C06050"/>
    <w:rsid w:val="00C10400"/>
    <w:rsid w:val="00C11C18"/>
    <w:rsid w:val="00C147EB"/>
    <w:rsid w:val="00C14CF7"/>
    <w:rsid w:val="00C156E6"/>
    <w:rsid w:val="00C15767"/>
    <w:rsid w:val="00C15C5F"/>
    <w:rsid w:val="00C15D11"/>
    <w:rsid w:val="00C15E87"/>
    <w:rsid w:val="00C168E7"/>
    <w:rsid w:val="00C17674"/>
    <w:rsid w:val="00C177B3"/>
    <w:rsid w:val="00C203DC"/>
    <w:rsid w:val="00C2072B"/>
    <w:rsid w:val="00C20E44"/>
    <w:rsid w:val="00C22948"/>
    <w:rsid w:val="00C23812"/>
    <w:rsid w:val="00C243E5"/>
    <w:rsid w:val="00C25CB1"/>
    <w:rsid w:val="00C26B48"/>
    <w:rsid w:val="00C31B53"/>
    <w:rsid w:val="00C31DBC"/>
    <w:rsid w:val="00C32880"/>
    <w:rsid w:val="00C35FB3"/>
    <w:rsid w:val="00C36249"/>
    <w:rsid w:val="00C37D84"/>
    <w:rsid w:val="00C42C4C"/>
    <w:rsid w:val="00C45A4D"/>
    <w:rsid w:val="00C4659A"/>
    <w:rsid w:val="00C478A5"/>
    <w:rsid w:val="00C50E7B"/>
    <w:rsid w:val="00C5143E"/>
    <w:rsid w:val="00C5478E"/>
    <w:rsid w:val="00C5576F"/>
    <w:rsid w:val="00C56421"/>
    <w:rsid w:val="00C56DA1"/>
    <w:rsid w:val="00C574C2"/>
    <w:rsid w:val="00C61916"/>
    <w:rsid w:val="00C62C8A"/>
    <w:rsid w:val="00C6362B"/>
    <w:rsid w:val="00C648AB"/>
    <w:rsid w:val="00C66333"/>
    <w:rsid w:val="00C6755C"/>
    <w:rsid w:val="00C72391"/>
    <w:rsid w:val="00C73AC5"/>
    <w:rsid w:val="00C75ADD"/>
    <w:rsid w:val="00C7695E"/>
    <w:rsid w:val="00C76C74"/>
    <w:rsid w:val="00C7743D"/>
    <w:rsid w:val="00C80052"/>
    <w:rsid w:val="00C8173E"/>
    <w:rsid w:val="00C82271"/>
    <w:rsid w:val="00C82497"/>
    <w:rsid w:val="00C84DF5"/>
    <w:rsid w:val="00C906D0"/>
    <w:rsid w:val="00C90B5E"/>
    <w:rsid w:val="00C937CD"/>
    <w:rsid w:val="00C97B72"/>
    <w:rsid w:val="00CA25C0"/>
    <w:rsid w:val="00CA2957"/>
    <w:rsid w:val="00CA3131"/>
    <w:rsid w:val="00CA5480"/>
    <w:rsid w:val="00CB096F"/>
    <w:rsid w:val="00CB0BC4"/>
    <w:rsid w:val="00CB1AA8"/>
    <w:rsid w:val="00CB7F3A"/>
    <w:rsid w:val="00CC0E03"/>
    <w:rsid w:val="00CC1061"/>
    <w:rsid w:val="00CC18DE"/>
    <w:rsid w:val="00CC753B"/>
    <w:rsid w:val="00CD08D3"/>
    <w:rsid w:val="00CD2191"/>
    <w:rsid w:val="00CD35C2"/>
    <w:rsid w:val="00CD44FF"/>
    <w:rsid w:val="00CD5B66"/>
    <w:rsid w:val="00CE013E"/>
    <w:rsid w:val="00CE25F9"/>
    <w:rsid w:val="00CE6F3E"/>
    <w:rsid w:val="00CE7CBB"/>
    <w:rsid w:val="00CE7D04"/>
    <w:rsid w:val="00CE7D40"/>
    <w:rsid w:val="00CF14A4"/>
    <w:rsid w:val="00CF534B"/>
    <w:rsid w:val="00CF5FA3"/>
    <w:rsid w:val="00CF660D"/>
    <w:rsid w:val="00CF7C6C"/>
    <w:rsid w:val="00D01D87"/>
    <w:rsid w:val="00D03F5B"/>
    <w:rsid w:val="00D05F52"/>
    <w:rsid w:val="00D06A92"/>
    <w:rsid w:val="00D107B9"/>
    <w:rsid w:val="00D11440"/>
    <w:rsid w:val="00D13C0D"/>
    <w:rsid w:val="00D1400F"/>
    <w:rsid w:val="00D1516F"/>
    <w:rsid w:val="00D16FB6"/>
    <w:rsid w:val="00D17965"/>
    <w:rsid w:val="00D2450F"/>
    <w:rsid w:val="00D25EF0"/>
    <w:rsid w:val="00D26524"/>
    <w:rsid w:val="00D301DE"/>
    <w:rsid w:val="00D311E2"/>
    <w:rsid w:val="00D32F87"/>
    <w:rsid w:val="00D35572"/>
    <w:rsid w:val="00D35886"/>
    <w:rsid w:val="00D366A3"/>
    <w:rsid w:val="00D369F8"/>
    <w:rsid w:val="00D41159"/>
    <w:rsid w:val="00D42406"/>
    <w:rsid w:val="00D42AE9"/>
    <w:rsid w:val="00D42DFF"/>
    <w:rsid w:val="00D50DD0"/>
    <w:rsid w:val="00D516C0"/>
    <w:rsid w:val="00D52451"/>
    <w:rsid w:val="00D5393D"/>
    <w:rsid w:val="00D543CA"/>
    <w:rsid w:val="00D561D6"/>
    <w:rsid w:val="00D605A6"/>
    <w:rsid w:val="00D60ECD"/>
    <w:rsid w:val="00D63133"/>
    <w:rsid w:val="00D64566"/>
    <w:rsid w:val="00D64CE7"/>
    <w:rsid w:val="00D65C5C"/>
    <w:rsid w:val="00D70E6D"/>
    <w:rsid w:val="00D765B0"/>
    <w:rsid w:val="00D81279"/>
    <w:rsid w:val="00D84657"/>
    <w:rsid w:val="00D856FE"/>
    <w:rsid w:val="00D91F12"/>
    <w:rsid w:val="00D92502"/>
    <w:rsid w:val="00D95C81"/>
    <w:rsid w:val="00D9621E"/>
    <w:rsid w:val="00D97ED6"/>
    <w:rsid w:val="00DA0195"/>
    <w:rsid w:val="00DA1ACD"/>
    <w:rsid w:val="00DA2D8D"/>
    <w:rsid w:val="00DA4EE9"/>
    <w:rsid w:val="00DA510D"/>
    <w:rsid w:val="00DA688F"/>
    <w:rsid w:val="00DA72B5"/>
    <w:rsid w:val="00DB2811"/>
    <w:rsid w:val="00DB6B7C"/>
    <w:rsid w:val="00DB74AA"/>
    <w:rsid w:val="00DC0A94"/>
    <w:rsid w:val="00DC47EC"/>
    <w:rsid w:val="00DC7751"/>
    <w:rsid w:val="00DD2C12"/>
    <w:rsid w:val="00DD3069"/>
    <w:rsid w:val="00DD44F2"/>
    <w:rsid w:val="00DD50FB"/>
    <w:rsid w:val="00DD5255"/>
    <w:rsid w:val="00DD65C2"/>
    <w:rsid w:val="00DE0E00"/>
    <w:rsid w:val="00DE4D06"/>
    <w:rsid w:val="00DE5BD0"/>
    <w:rsid w:val="00DF1347"/>
    <w:rsid w:val="00DF14C1"/>
    <w:rsid w:val="00DF45D8"/>
    <w:rsid w:val="00DF4CC9"/>
    <w:rsid w:val="00DF69EC"/>
    <w:rsid w:val="00E0060C"/>
    <w:rsid w:val="00E022B7"/>
    <w:rsid w:val="00E02633"/>
    <w:rsid w:val="00E02848"/>
    <w:rsid w:val="00E039E5"/>
    <w:rsid w:val="00E03A40"/>
    <w:rsid w:val="00E03EA0"/>
    <w:rsid w:val="00E04F7D"/>
    <w:rsid w:val="00E148F4"/>
    <w:rsid w:val="00E15D0D"/>
    <w:rsid w:val="00E1630D"/>
    <w:rsid w:val="00E1642F"/>
    <w:rsid w:val="00E22D93"/>
    <w:rsid w:val="00E25D6B"/>
    <w:rsid w:val="00E269C6"/>
    <w:rsid w:val="00E30345"/>
    <w:rsid w:val="00E32162"/>
    <w:rsid w:val="00E32C6E"/>
    <w:rsid w:val="00E34495"/>
    <w:rsid w:val="00E346AB"/>
    <w:rsid w:val="00E35531"/>
    <w:rsid w:val="00E423BA"/>
    <w:rsid w:val="00E42558"/>
    <w:rsid w:val="00E44ADB"/>
    <w:rsid w:val="00E44B96"/>
    <w:rsid w:val="00E44BBF"/>
    <w:rsid w:val="00E45B27"/>
    <w:rsid w:val="00E50494"/>
    <w:rsid w:val="00E50A07"/>
    <w:rsid w:val="00E5261C"/>
    <w:rsid w:val="00E53E1C"/>
    <w:rsid w:val="00E53E99"/>
    <w:rsid w:val="00E550CF"/>
    <w:rsid w:val="00E5530A"/>
    <w:rsid w:val="00E57A4F"/>
    <w:rsid w:val="00E6122C"/>
    <w:rsid w:val="00E61E05"/>
    <w:rsid w:val="00E662BA"/>
    <w:rsid w:val="00E66EE7"/>
    <w:rsid w:val="00E722AA"/>
    <w:rsid w:val="00E9234B"/>
    <w:rsid w:val="00E927CF"/>
    <w:rsid w:val="00E93539"/>
    <w:rsid w:val="00E962EA"/>
    <w:rsid w:val="00E9756E"/>
    <w:rsid w:val="00EA27B1"/>
    <w:rsid w:val="00EA2FC8"/>
    <w:rsid w:val="00EA465B"/>
    <w:rsid w:val="00EA53DE"/>
    <w:rsid w:val="00EB0F53"/>
    <w:rsid w:val="00EB169D"/>
    <w:rsid w:val="00EB2171"/>
    <w:rsid w:val="00EB22A4"/>
    <w:rsid w:val="00EB3476"/>
    <w:rsid w:val="00EB4418"/>
    <w:rsid w:val="00EB5B61"/>
    <w:rsid w:val="00EB6C79"/>
    <w:rsid w:val="00EB7508"/>
    <w:rsid w:val="00ED0553"/>
    <w:rsid w:val="00ED228E"/>
    <w:rsid w:val="00ED2754"/>
    <w:rsid w:val="00ED5127"/>
    <w:rsid w:val="00EE13B8"/>
    <w:rsid w:val="00EE2B5D"/>
    <w:rsid w:val="00EE2EA5"/>
    <w:rsid w:val="00EE3C44"/>
    <w:rsid w:val="00EE5668"/>
    <w:rsid w:val="00EE60C8"/>
    <w:rsid w:val="00EF17E9"/>
    <w:rsid w:val="00EF23AD"/>
    <w:rsid w:val="00EF2725"/>
    <w:rsid w:val="00EF3705"/>
    <w:rsid w:val="00EF6404"/>
    <w:rsid w:val="00F0113F"/>
    <w:rsid w:val="00F01A0F"/>
    <w:rsid w:val="00F01C95"/>
    <w:rsid w:val="00F01E02"/>
    <w:rsid w:val="00F031EC"/>
    <w:rsid w:val="00F03466"/>
    <w:rsid w:val="00F03BAF"/>
    <w:rsid w:val="00F04997"/>
    <w:rsid w:val="00F0641C"/>
    <w:rsid w:val="00F06F9A"/>
    <w:rsid w:val="00F110CD"/>
    <w:rsid w:val="00F14C20"/>
    <w:rsid w:val="00F16EAB"/>
    <w:rsid w:val="00F2156B"/>
    <w:rsid w:val="00F23F51"/>
    <w:rsid w:val="00F24F37"/>
    <w:rsid w:val="00F256AF"/>
    <w:rsid w:val="00F27C0A"/>
    <w:rsid w:val="00F3135D"/>
    <w:rsid w:val="00F3157C"/>
    <w:rsid w:val="00F315E7"/>
    <w:rsid w:val="00F32D9C"/>
    <w:rsid w:val="00F3411C"/>
    <w:rsid w:val="00F40044"/>
    <w:rsid w:val="00F45E15"/>
    <w:rsid w:val="00F52375"/>
    <w:rsid w:val="00F53B12"/>
    <w:rsid w:val="00F569A6"/>
    <w:rsid w:val="00F60D6B"/>
    <w:rsid w:val="00F61C74"/>
    <w:rsid w:val="00F6386D"/>
    <w:rsid w:val="00F640C5"/>
    <w:rsid w:val="00F64C2F"/>
    <w:rsid w:val="00F6589D"/>
    <w:rsid w:val="00F66011"/>
    <w:rsid w:val="00F67215"/>
    <w:rsid w:val="00F67A0C"/>
    <w:rsid w:val="00F74ED8"/>
    <w:rsid w:val="00F75349"/>
    <w:rsid w:val="00F75D9E"/>
    <w:rsid w:val="00F767D3"/>
    <w:rsid w:val="00F7721C"/>
    <w:rsid w:val="00F77AFF"/>
    <w:rsid w:val="00F807D8"/>
    <w:rsid w:val="00F90F6F"/>
    <w:rsid w:val="00F914AB"/>
    <w:rsid w:val="00FA033D"/>
    <w:rsid w:val="00FA0D35"/>
    <w:rsid w:val="00FA128A"/>
    <w:rsid w:val="00FA2550"/>
    <w:rsid w:val="00FA4B4A"/>
    <w:rsid w:val="00FA68CE"/>
    <w:rsid w:val="00FB11EF"/>
    <w:rsid w:val="00FB2353"/>
    <w:rsid w:val="00FB2C61"/>
    <w:rsid w:val="00FB4FB2"/>
    <w:rsid w:val="00FB785E"/>
    <w:rsid w:val="00FD24CB"/>
    <w:rsid w:val="00FD2C4E"/>
    <w:rsid w:val="00FD3F70"/>
    <w:rsid w:val="00FD47C4"/>
    <w:rsid w:val="00FD5314"/>
    <w:rsid w:val="00FD6AB9"/>
    <w:rsid w:val="00FD7625"/>
    <w:rsid w:val="00FE0428"/>
    <w:rsid w:val="00FE07C9"/>
    <w:rsid w:val="00FE496E"/>
    <w:rsid w:val="00FE6CAE"/>
    <w:rsid w:val="00FF00A7"/>
    <w:rsid w:val="00FF0563"/>
    <w:rsid w:val="00FF3157"/>
    <w:rsid w:val="00FF3D1D"/>
    <w:rsid w:val="00FF418F"/>
    <w:rsid w:val="00FF41D4"/>
    <w:rsid w:val="00FF4380"/>
    <w:rsid w:val="00FF58AB"/>
    <w:rsid w:val="00FF6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830E9"/>
  <w15:chartTrackingRefBased/>
  <w15:docId w15:val="{BB537C8C-60A1-4CE6-8552-0FA745530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2306"/>
    <w:pPr>
      <w:spacing w:after="200" w:line="276" w:lineRule="auto"/>
    </w:pPr>
    <w:rPr>
      <w:sz w:val="22"/>
      <w:szCs w:val="22"/>
      <w:lang w:eastAsia="en-US"/>
    </w:rPr>
  </w:style>
  <w:style w:type="paragraph" w:styleId="Nagwek1">
    <w:name w:val="heading 1"/>
    <w:basedOn w:val="Normalny"/>
    <w:next w:val="Normalny"/>
    <w:link w:val="Nagwek1Znak"/>
    <w:uiPriority w:val="9"/>
    <w:qFormat/>
    <w:rsid w:val="00216B68"/>
    <w:pPr>
      <w:keepNext/>
      <w:spacing w:before="240" w:after="60"/>
      <w:outlineLvl w:val="0"/>
    </w:pPr>
    <w:rPr>
      <w:rFonts w:ascii="Calibri Light" w:eastAsia="Times New Roman" w:hAnsi="Calibri Light"/>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rPr>
      <w:sz w:val="22"/>
      <w:szCs w:val="22"/>
      <w:lang w:eastAsia="en-US"/>
    </w:r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2723AC"/>
    <w:rPr>
      <w:rFonts w:ascii="Tahoma" w:hAnsi="Tahoma" w:cs="Tahoma"/>
      <w:sz w:val="16"/>
      <w:szCs w:val="16"/>
    </w:rPr>
  </w:style>
  <w:style w:type="character" w:styleId="Odwoaniedokomentarza">
    <w:name w:val="annotation reference"/>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link w:val="Tematkomentarza"/>
    <w:uiPriority w:val="99"/>
    <w:semiHidden/>
    <w:rsid w:val="00F16EAB"/>
    <w:rPr>
      <w:b/>
      <w:bCs/>
      <w:sz w:val="20"/>
      <w:szCs w:val="20"/>
    </w:rPr>
  </w:style>
  <w:style w:type="character" w:styleId="Pogrubienie">
    <w:name w:val="Strong"/>
    <w:uiPriority w:val="22"/>
    <w:qFormat/>
    <w:rsid w:val="00892306"/>
    <w:rPr>
      <w:b/>
      <w:bCs/>
    </w:rPr>
  </w:style>
  <w:style w:type="paragraph" w:styleId="NormalnyWeb">
    <w:name w:val="Normal (Web)"/>
    <w:basedOn w:val="Normalny"/>
    <w:uiPriority w:val="99"/>
    <w:unhideWhenUsed/>
    <w:rsid w:val="00317D71"/>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uiPriority w:val="99"/>
    <w:unhideWhenUsed/>
    <w:rsid w:val="00A425FD"/>
    <w:rPr>
      <w:color w:val="0563C1"/>
      <w:u w:val="single"/>
    </w:rPr>
  </w:style>
  <w:style w:type="character" w:styleId="Uwydatnienie">
    <w:name w:val="Emphasis"/>
    <w:uiPriority w:val="20"/>
    <w:qFormat/>
    <w:rsid w:val="00C5143E"/>
    <w:rPr>
      <w:i/>
      <w:iCs/>
    </w:rPr>
  </w:style>
  <w:style w:type="paragraph" w:customStyle="1" w:styleId="v1msonormal">
    <w:name w:val="v1msonormal"/>
    <w:basedOn w:val="Normalny"/>
    <w:rsid w:val="0043219C"/>
    <w:pPr>
      <w:spacing w:before="100" w:beforeAutospacing="1" w:after="100" w:afterAutospacing="1" w:line="240" w:lineRule="auto"/>
    </w:pPr>
    <w:rPr>
      <w:rFonts w:ascii="Times New Roman" w:eastAsia="Times New Roman" w:hAnsi="Times New Roman"/>
      <w:sz w:val="24"/>
      <w:szCs w:val="24"/>
      <w:lang w:eastAsia="pl-PL"/>
    </w:rPr>
  </w:style>
  <w:style w:type="table" w:styleId="Jasnalista">
    <w:name w:val="Light List"/>
    <w:basedOn w:val="Standardowy"/>
    <w:uiPriority w:val="61"/>
    <w:rsid w:val="005D6A2C"/>
    <w:rPr>
      <w:rFonts w:eastAsia="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Nagwek1Znak">
    <w:name w:val="Nagłówek 1 Znak"/>
    <w:link w:val="Nagwek1"/>
    <w:uiPriority w:val="9"/>
    <w:rsid w:val="00216B68"/>
    <w:rPr>
      <w:rFonts w:ascii="Calibri Light" w:eastAsia="Times New Roman" w:hAnsi="Calibri Light" w:cs="Times New Roman"/>
      <w:b/>
      <w:bCs/>
      <w:kern w:val="32"/>
      <w:sz w:val="32"/>
      <w:szCs w:val="32"/>
      <w:lang w:eastAsia="en-US"/>
    </w:rPr>
  </w:style>
  <w:style w:type="paragraph" w:styleId="Tekstprzypisudolnego">
    <w:name w:val="footnote text"/>
    <w:basedOn w:val="Normalny"/>
    <w:link w:val="TekstprzypisudolnegoZnak"/>
    <w:uiPriority w:val="99"/>
    <w:semiHidden/>
    <w:unhideWhenUsed/>
    <w:rsid w:val="004474C3"/>
    <w:rPr>
      <w:sz w:val="20"/>
      <w:szCs w:val="20"/>
    </w:rPr>
  </w:style>
  <w:style w:type="character" w:customStyle="1" w:styleId="TekstprzypisudolnegoZnak">
    <w:name w:val="Tekst przypisu dolnego Znak"/>
    <w:link w:val="Tekstprzypisudolnego"/>
    <w:uiPriority w:val="99"/>
    <w:semiHidden/>
    <w:rsid w:val="004474C3"/>
    <w:rPr>
      <w:lang w:eastAsia="en-US"/>
    </w:rPr>
  </w:style>
  <w:style w:type="character" w:styleId="Odwoanieprzypisudolnego">
    <w:name w:val="footnote reference"/>
    <w:uiPriority w:val="99"/>
    <w:semiHidden/>
    <w:unhideWhenUsed/>
    <w:rsid w:val="004474C3"/>
    <w:rPr>
      <w:vertAlign w:val="superscript"/>
    </w:rPr>
  </w:style>
  <w:style w:type="character" w:customStyle="1" w:styleId="cf01">
    <w:name w:val="cf01"/>
    <w:rsid w:val="008C3E79"/>
    <w:rPr>
      <w:rFonts w:ascii="Segoe UI" w:hAnsi="Segoe UI" w:cs="Segoe UI" w:hint="default"/>
      <w:sz w:val="18"/>
      <w:szCs w:val="18"/>
    </w:rPr>
  </w:style>
  <w:style w:type="character" w:styleId="Nierozpoznanawzmianka">
    <w:name w:val="Unresolved Mention"/>
    <w:uiPriority w:val="99"/>
    <w:semiHidden/>
    <w:unhideWhenUsed/>
    <w:rsid w:val="00B479A3"/>
    <w:rPr>
      <w:color w:val="605E5C"/>
      <w:shd w:val="clear" w:color="auto" w:fill="E1DFDD"/>
    </w:rPr>
  </w:style>
  <w:style w:type="paragraph" w:styleId="Poprawka">
    <w:name w:val="Revision"/>
    <w:hidden/>
    <w:uiPriority w:val="99"/>
    <w:semiHidden/>
    <w:rsid w:val="00BE22C7"/>
    <w:rPr>
      <w:sz w:val="22"/>
      <w:szCs w:val="22"/>
      <w:lang w:eastAsia="en-US"/>
    </w:rPr>
  </w:style>
  <w:style w:type="paragraph" w:customStyle="1" w:styleId="pf0">
    <w:name w:val="pf0"/>
    <w:basedOn w:val="Normalny"/>
    <w:rsid w:val="00A169C8"/>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24886">
      <w:bodyDiv w:val="1"/>
      <w:marLeft w:val="0"/>
      <w:marRight w:val="0"/>
      <w:marTop w:val="0"/>
      <w:marBottom w:val="0"/>
      <w:divBdr>
        <w:top w:val="none" w:sz="0" w:space="0" w:color="auto"/>
        <w:left w:val="none" w:sz="0" w:space="0" w:color="auto"/>
        <w:bottom w:val="none" w:sz="0" w:space="0" w:color="auto"/>
        <w:right w:val="none" w:sz="0" w:space="0" w:color="auto"/>
      </w:divBdr>
    </w:div>
    <w:div w:id="45616442">
      <w:bodyDiv w:val="1"/>
      <w:marLeft w:val="0"/>
      <w:marRight w:val="0"/>
      <w:marTop w:val="0"/>
      <w:marBottom w:val="0"/>
      <w:divBdr>
        <w:top w:val="none" w:sz="0" w:space="0" w:color="auto"/>
        <w:left w:val="none" w:sz="0" w:space="0" w:color="auto"/>
        <w:bottom w:val="none" w:sz="0" w:space="0" w:color="auto"/>
        <w:right w:val="none" w:sz="0" w:space="0" w:color="auto"/>
      </w:divBdr>
    </w:div>
    <w:div w:id="98575259">
      <w:bodyDiv w:val="1"/>
      <w:marLeft w:val="0"/>
      <w:marRight w:val="0"/>
      <w:marTop w:val="0"/>
      <w:marBottom w:val="0"/>
      <w:divBdr>
        <w:top w:val="none" w:sz="0" w:space="0" w:color="auto"/>
        <w:left w:val="none" w:sz="0" w:space="0" w:color="auto"/>
        <w:bottom w:val="none" w:sz="0" w:space="0" w:color="auto"/>
        <w:right w:val="none" w:sz="0" w:space="0" w:color="auto"/>
      </w:divBdr>
    </w:div>
    <w:div w:id="118185027">
      <w:bodyDiv w:val="1"/>
      <w:marLeft w:val="0"/>
      <w:marRight w:val="0"/>
      <w:marTop w:val="0"/>
      <w:marBottom w:val="0"/>
      <w:divBdr>
        <w:top w:val="none" w:sz="0" w:space="0" w:color="auto"/>
        <w:left w:val="none" w:sz="0" w:space="0" w:color="auto"/>
        <w:bottom w:val="none" w:sz="0" w:space="0" w:color="auto"/>
        <w:right w:val="none" w:sz="0" w:space="0" w:color="auto"/>
      </w:divBdr>
    </w:div>
    <w:div w:id="133258789">
      <w:bodyDiv w:val="1"/>
      <w:marLeft w:val="0"/>
      <w:marRight w:val="0"/>
      <w:marTop w:val="0"/>
      <w:marBottom w:val="0"/>
      <w:divBdr>
        <w:top w:val="none" w:sz="0" w:space="0" w:color="auto"/>
        <w:left w:val="none" w:sz="0" w:space="0" w:color="auto"/>
        <w:bottom w:val="none" w:sz="0" w:space="0" w:color="auto"/>
        <w:right w:val="none" w:sz="0" w:space="0" w:color="auto"/>
      </w:divBdr>
    </w:div>
    <w:div w:id="139077213">
      <w:bodyDiv w:val="1"/>
      <w:marLeft w:val="0"/>
      <w:marRight w:val="0"/>
      <w:marTop w:val="0"/>
      <w:marBottom w:val="0"/>
      <w:divBdr>
        <w:top w:val="none" w:sz="0" w:space="0" w:color="auto"/>
        <w:left w:val="none" w:sz="0" w:space="0" w:color="auto"/>
        <w:bottom w:val="none" w:sz="0" w:space="0" w:color="auto"/>
        <w:right w:val="none" w:sz="0" w:space="0" w:color="auto"/>
      </w:divBdr>
    </w:div>
    <w:div w:id="152111411">
      <w:bodyDiv w:val="1"/>
      <w:marLeft w:val="0"/>
      <w:marRight w:val="0"/>
      <w:marTop w:val="0"/>
      <w:marBottom w:val="0"/>
      <w:divBdr>
        <w:top w:val="none" w:sz="0" w:space="0" w:color="auto"/>
        <w:left w:val="none" w:sz="0" w:space="0" w:color="auto"/>
        <w:bottom w:val="none" w:sz="0" w:space="0" w:color="auto"/>
        <w:right w:val="none" w:sz="0" w:space="0" w:color="auto"/>
      </w:divBdr>
    </w:div>
    <w:div w:id="217397060">
      <w:bodyDiv w:val="1"/>
      <w:marLeft w:val="0"/>
      <w:marRight w:val="0"/>
      <w:marTop w:val="0"/>
      <w:marBottom w:val="0"/>
      <w:divBdr>
        <w:top w:val="none" w:sz="0" w:space="0" w:color="auto"/>
        <w:left w:val="none" w:sz="0" w:space="0" w:color="auto"/>
        <w:bottom w:val="none" w:sz="0" w:space="0" w:color="auto"/>
        <w:right w:val="none" w:sz="0" w:space="0" w:color="auto"/>
      </w:divBdr>
    </w:div>
    <w:div w:id="219901960">
      <w:bodyDiv w:val="1"/>
      <w:marLeft w:val="0"/>
      <w:marRight w:val="0"/>
      <w:marTop w:val="0"/>
      <w:marBottom w:val="0"/>
      <w:divBdr>
        <w:top w:val="none" w:sz="0" w:space="0" w:color="auto"/>
        <w:left w:val="none" w:sz="0" w:space="0" w:color="auto"/>
        <w:bottom w:val="none" w:sz="0" w:space="0" w:color="auto"/>
        <w:right w:val="none" w:sz="0" w:space="0" w:color="auto"/>
      </w:divBdr>
    </w:div>
    <w:div w:id="230190895">
      <w:bodyDiv w:val="1"/>
      <w:marLeft w:val="0"/>
      <w:marRight w:val="0"/>
      <w:marTop w:val="0"/>
      <w:marBottom w:val="0"/>
      <w:divBdr>
        <w:top w:val="none" w:sz="0" w:space="0" w:color="auto"/>
        <w:left w:val="none" w:sz="0" w:space="0" w:color="auto"/>
        <w:bottom w:val="none" w:sz="0" w:space="0" w:color="auto"/>
        <w:right w:val="none" w:sz="0" w:space="0" w:color="auto"/>
      </w:divBdr>
    </w:div>
    <w:div w:id="421219584">
      <w:bodyDiv w:val="1"/>
      <w:marLeft w:val="0"/>
      <w:marRight w:val="0"/>
      <w:marTop w:val="0"/>
      <w:marBottom w:val="0"/>
      <w:divBdr>
        <w:top w:val="none" w:sz="0" w:space="0" w:color="auto"/>
        <w:left w:val="none" w:sz="0" w:space="0" w:color="auto"/>
        <w:bottom w:val="none" w:sz="0" w:space="0" w:color="auto"/>
        <w:right w:val="none" w:sz="0" w:space="0" w:color="auto"/>
      </w:divBdr>
    </w:div>
    <w:div w:id="430472237">
      <w:bodyDiv w:val="1"/>
      <w:marLeft w:val="0"/>
      <w:marRight w:val="0"/>
      <w:marTop w:val="0"/>
      <w:marBottom w:val="0"/>
      <w:divBdr>
        <w:top w:val="none" w:sz="0" w:space="0" w:color="auto"/>
        <w:left w:val="none" w:sz="0" w:space="0" w:color="auto"/>
        <w:bottom w:val="none" w:sz="0" w:space="0" w:color="auto"/>
        <w:right w:val="none" w:sz="0" w:space="0" w:color="auto"/>
      </w:divBdr>
    </w:div>
    <w:div w:id="521092125">
      <w:bodyDiv w:val="1"/>
      <w:marLeft w:val="0"/>
      <w:marRight w:val="0"/>
      <w:marTop w:val="0"/>
      <w:marBottom w:val="0"/>
      <w:divBdr>
        <w:top w:val="none" w:sz="0" w:space="0" w:color="auto"/>
        <w:left w:val="none" w:sz="0" w:space="0" w:color="auto"/>
        <w:bottom w:val="none" w:sz="0" w:space="0" w:color="auto"/>
        <w:right w:val="none" w:sz="0" w:space="0" w:color="auto"/>
      </w:divBdr>
    </w:div>
    <w:div w:id="556281537">
      <w:bodyDiv w:val="1"/>
      <w:marLeft w:val="0"/>
      <w:marRight w:val="0"/>
      <w:marTop w:val="0"/>
      <w:marBottom w:val="0"/>
      <w:divBdr>
        <w:top w:val="none" w:sz="0" w:space="0" w:color="auto"/>
        <w:left w:val="none" w:sz="0" w:space="0" w:color="auto"/>
        <w:bottom w:val="none" w:sz="0" w:space="0" w:color="auto"/>
        <w:right w:val="none" w:sz="0" w:space="0" w:color="auto"/>
      </w:divBdr>
    </w:div>
    <w:div w:id="571240118">
      <w:bodyDiv w:val="1"/>
      <w:marLeft w:val="0"/>
      <w:marRight w:val="0"/>
      <w:marTop w:val="0"/>
      <w:marBottom w:val="0"/>
      <w:divBdr>
        <w:top w:val="none" w:sz="0" w:space="0" w:color="auto"/>
        <w:left w:val="none" w:sz="0" w:space="0" w:color="auto"/>
        <w:bottom w:val="none" w:sz="0" w:space="0" w:color="auto"/>
        <w:right w:val="none" w:sz="0" w:space="0" w:color="auto"/>
      </w:divBdr>
    </w:div>
    <w:div w:id="586186405">
      <w:bodyDiv w:val="1"/>
      <w:marLeft w:val="0"/>
      <w:marRight w:val="0"/>
      <w:marTop w:val="0"/>
      <w:marBottom w:val="0"/>
      <w:divBdr>
        <w:top w:val="none" w:sz="0" w:space="0" w:color="auto"/>
        <w:left w:val="none" w:sz="0" w:space="0" w:color="auto"/>
        <w:bottom w:val="none" w:sz="0" w:space="0" w:color="auto"/>
        <w:right w:val="none" w:sz="0" w:space="0" w:color="auto"/>
      </w:divBdr>
    </w:div>
    <w:div w:id="595015647">
      <w:bodyDiv w:val="1"/>
      <w:marLeft w:val="0"/>
      <w:marRight w:val="0"/>
      <w:marTop w:val="0"/>
      <w:marBottom w:val="0"/>
      <w:divBdr>
        <w:top w:val="none" w:sz="0" w:space="0" w:color="auto"/>
        <w:left w:val="none" w:sz="0" w:space="0" w:color="auto"/>
        <w:bottom w:val="none" w:sz="0" w:space="0" w:color="auto"/>
        <w:right w:val="none" w:sz="0" w:space="0" w:color="auto"/>
      </w:divBdr>
    </w:div>
    <w:div w:id="606544551">
      <w:bodyDiv w:val="1"/>
      <w:marLeft w:val="0"/>
      <w:marRight w:val="0"/>
      <w:marTop w:val="0"/>
      <w:marBottom w:val="0"/>
      <w:divBdr>
        <w:top w:val="none" w:sz="0" w:space="0" w:color="auto"/>
        <w:left w:val="none" w:sz="0" w:space="0" w:color="auto"/>
        <w:bottom w:val="none" w:sz="0" w:space="0" w:color="auto"/>
        <w:right w:val="none" w:sz="0" w:space="0" w:color="auto"/>
      </w:divBdr>
    </w:div>
    <w:div w:id="648360543">
      <w:bodyDiv w:val="1"/>
      <w:marLeft w:val="0"/>
      <w:marRight w:val="0"/>
      <w:marTop w:val="0"/>
      <w:marBottom w:val="0"/>
      <w:divBdr>
        <w:top w:val="none" w:sz="0" w:space="0" w:color="auto"/>
        <w:left w:val="none" w:sz="0" w:space="0" w:color="auto"/>
        <w:bottom w:val="none" w:sz="0" w:space="0" w:color="auto"/>
        <w:right w:val="none" w:sz="0" w:space="0" w:color="auto"/>
      </w:divBdr>
    </w:div>
    <w:div w:id="684940952">
      <w:bodyDiv w:val="1"/>
      <w:marLeft w:val="0"/>
      <w:marRight w:val="0"/>
      <w:marTop w:val="0"/>
      <w:marBottom w:val="0"/>
      <w:divBdr>
        <w:top w:val="none" w:sz="0" w:space="0" w:color="auto"/>
        <w:left w:val="none" w:sz="0" w:space="0" w:color="auto"/>
        <w:bottom w:val="none" w:sz="0" w:space="0" w:color="auto"/>
        <w:right w:val="none" w:sz="0" w:space="0" w:color="auto"/>
      </w:divBdr>
      <w:divsChild>
        <w:div w:id="654577940">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92867823">
              <w:marLeft w:val="0"/>
              <w:marRight w:val="0"/>
              <w:marTop w:val="0"/>
              <w:marBottom w:val="0"/>
              <w:divBdr>
                <w:top w:val="none" w:sz="0" w:space="0" w:color="auto"/>
                <w:left w:val="none" w:sz="0" w:space="0" w:color="auto"/>
                <w:bottom w:val="none" w:sz="0" w:space="0" w:color="auto"/>
                <w:right w:val="none" w:sz="0" w:space="0" w:color="auto"/>
              </w:divBdr>
              <w:divsChild>
                <w:div w:id="262223075">
                  <w:marLeft w:val="0"/>
                  <w:marRight w:val="0"/>
                  <w:marTop w:val="0"/>
                  <w:marBottom w:val="0"/>
                  <w:divBdr>
                    <w:top w:val="none" w:sz="0" w:space="0" w:color="auto"/>
                    <w:left w:val="none" w:sz="0" w:space="0" w:color="auto"/>
                    <w:bottom w:val="none" w:sz="0" w:space="0" w:color="auto"/>
                    <w:right w:val="none" w:sz="0" w:space="0" w:color="auto"/>
                  </w:divBdr>
                  <w:divsChild>
                    <w:div w:id="537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01178">
      <w:bodyDiv w:val="1"/>
      <w:marLeft w:val="0"/>
      <w:marRight w:val="0"/>
      <w:marTop w:val="0"/>
      <w:marBottom w:val="0"/>
      <w:divBdr>
        <w:top w:val="none" w:sz="0" w:space="0" w:color="auto"/>
        <w:left w:val="none" w:sz="0" w:space="0" w:color="auto"/>
        <w:bottom w:val="none" w:sz="0" w:space="0" w:color="auto"/>
        <w:right w:val="none" w:sz="0" w:space="0" w:color="auto"/>
      </w:divBdr>
    </w:div>
    <w:div w:id="734932423">
      <w:bodyDiv w:val="1"/>
      <w:marLeft w:val="0"/>
      <w:marRight w:val="0"/>
      <w:marTop w:val="0"/>
      <w:marBottom w:val="0"/>
      <w:divBdr>
        <w:top w:val="none" w:sz="0" w:space="0" w:color="auto"/>
        <w:left w:val="none" w:sz="0" w:space="0" w:color="auto"/>
        <w:bottom w:val="none" w:sz="0" w:space="0" w:color="auto"/>
        <w:right w:val="none" w:sz="0" w:space="0" w:color="auto"/>
      </w:divBdr>
    </w:div>
    <w:div w:id="759453357">
      <w:bodyDiv w:val="1"/>
      <w:marLeft w:val="0"/>
      <w:marRight w:val="0"/>
      <w:marTop w:val="0"/>
      <w:marBottom w:val="0"/>
      <w:divBdr>
        <w:top w:val="none" w:sz="0" w:space="0" w:color="auto"/>
        <w:left w:val="none" w:sz="0" w:space="0" w:color="auto"/>
        <w:bottom w:val="none" w:sz="0" w:space="0" w:color="auto"/>
        <w:right w:val="none" w:sz="0" w:space="0" w:color="auto"/>
      </w:divBdr>
    </w:div>
    <w:div w:id="788280748">
      <w:bodyDiv w:val="1"/>
      <w:marLeft w:val="0"/>
      <w:marRight w:val="0"/>
      <w:marTop w:val="0"/>
      <w:marBottom w:val="0"/>
      <w:divBdr>
        <w:top w:val="none" w:sz="0" w:space="0" w:color="auto"/>
        <w:left w:val="none" w:sz="0" w:space="0" w:color="auto"/>
        <w:bottom w:val="none" w:sz="0" w:space="0" w:color="auto"/>
        <w:right w:val="none" w:sz="0" w:space="0" w:color="auto"/>
      </w:divBdr>
    </w:div>
    <w:div w:id="818305226">
      <w:bodyDiv w:val="1"/>
      <w:marLeft w:val="0"/>
      <w:marRight w:val="0"/>
      <w:marTop w:val="0"/>
      <w:marBottom w:val="0"/>
      <w:divBdr>
        <w:top w:val="none" w:sz="0" w:space="0" w:color="auto"/>
        <w:left w:val="none" w:sz="0" w:space="0" w:color="auto"/>
        <w:bottom w:val="none" w:sz="0" w:space="0" w:color="auto"/>
        <w:right w:val="none" w:sz="0" w:space="0" w:color="auto"/>
      </w:divBdr>
      <w:divsChild>
        <w:div w:id="1997611265">
          <w:marLeft w:val="0"/>
          <w:marRight w:val="0"/>
          <w:marTop w:val="0"/>
          <w:marBottom w:val="0"/>
          <w:divBdr>
            <w:top w:val="none" w:sz="0" w:space="0" w:color="auto"/>
            <w:left w:val="none" w:sz="0" w:space="0" w:color="auto"/>
            <w:bottom w:val="none" w:sz="0" w:space="0" w:color="auto"/>
            <w:right w:val="none" w:sz="0" w:space="0" w:color="auto"/>
          </w:divBdr>
        </w:div>
      </w:divsChild>
    </w:div>
    <w:div w:id="825778965">
      <w:bodyDiv w:val="1"/>
      <w:marLeft w:val="0"/>
      <w:marRight w:val="0"/>
      <w:marTop w:val="0"/>
      <w:marBottom w:val="0"/>
      <w:divBdr>
        <w:top w:val="none" w:sz="0" w:space="0" w:color="auto"/>
        <w:left w:val="none" w:sz="0" w:space="0" w:color="auto"/>
        <w:bottom w:val="none" w:sz="0" w:space="0" w:color="auto"/>
        <w:right w:val="none" w:sz="0" w:space="0" w:color="auto"/>
      </w:divBdr>
    </w:div>
    <w:div w:id="873228961">
      <w:bodyDiv w:val="1"/>
      <w:marLeft w:val="0"/>
      <w:marRight w:val="0"/>
      <w:marTop w:val="0"/>
      <w:marBottom w:val="0"/>
      <w:divBdr>
        <w:top w:val="none" w:sz="0" w:space="0" w:color="auto"/>
        <w:left w:val="none" w:sz="0" w:space="0" w:color="auto"/>
        <w:bottom w:val="none" w:sz="0" w:space="0" w:color="auto"/>
        <w:right w:val="none" w:sz="0" w:space="0" w:color="auto"/>
      </w:divBdr>
    </w:div>
    <w:div w:id="904755831">
      <w:bodyDiv w:val="1"/>
      <w:marLeft w:val="0"/>
      <w:marRight w:val="0"/>
      <w:marTop w:val="0"/>
      <w:marBottom w:val="0"/>
      <w:divBdr>
        <w:top w:val="none" w:sz="0" w:space="0" w:color="auto"/>
        <w:left w:val="none" w:sz="0" w:space="0" w:color="auto"/>
        <w:bottom w:val="none" w:sz="0" w:space="0" w:color="auto"/>
        <w:right w:val="none" w:sz="0" w:space="0" w:color="auto"/>
      </w:divBdr>
    </w:div>
    <w:div w:id="943030248">
      <w:bodyDiv w:val="1"/>
      <w:marLeft w:val="0"/>
      <w:marRight w:val="0"/>
      <w:marTop w:val="0"/>
      <w:marBottom w:val="0"/>
      <w:divBdr>
        <w:top w:val="none" w:sz="0" w:space="0" w:color="auto"/>
        <w:left w:val="none" w:sz="0" w:space="0" w:color="auto"/>
        <w:bottom w:val="none" w:sz="0" w:space="0" w:color="auto"/>
        <w:right w:val="none" w:sz="0" w:space="0" w:color="auto"/>
      </w:divBdr>
    </w:div>
    <w:div w:id="961499319">
      <w:bodyDiv w:val="1"/>
      <w:marLeft w:val="0"/>
      <w:marRight w:val="0"/>
      <w:marTop w:val="0"/>
      <w:marBottom w:val="0"/>
      <w:divBdr>
        <w:top w:val="none" w:sz="0" w:space="0" w:color="auto"/>
        <w:left w:val="none" w:sz="0" w:space="0" w:color="auto"/>
        <w:bottom w:val="none" w:sz="0" w:space="0" w:color="auto"/>
        <w:right w:val="none" w:sz="0" w:space="0" w:color="auto"/>
      </w:divBdr>
    </w:div>
    <w:div w:id="1033310465">
      <w:bodyDiv w:val="1"/>
      <w:marLeft w:val="0"/>
      <w:marRight w:val="0"/>
      <w:marTop w:val="0"/>
      <w:marBottom w:val="0"/>
      <w:divBdr>
        <w:top w:val="none" w:sz="0" w:space="0" w:color="auto"/>
        <w:left w:val="none" w:sz="0" w:space="0" w:color="auto"/>
        <w:bottom w:val="none" w:sz="0" w:space="0" w:color="auto"/>
        <w:right w:val="none" w:sz="0" w:space="0" w:color="auto"/>
      </w:divBdr>
    </w:div>
    <w:div w:id="1039473569">
      <w:bodyDiv w:val="1"/>
      <w:marLeft w:val="0"/>
      <w:marRight w:val="0"/>
      <w:marTop w:val="0"/>
      <w:marBottom w:val="0"/>
      <w:divBdr>
        <w:top w:val="none" w:sz="0" w:space="0" w:color="auto"/>
        <w:left w:val="none" w:sz="0" w:space="0" w:color="auto"/>
        <w:bottom w:val="none" w:sz="0" w:space="0" w:color="auto"/>
        <w:right w:val="none" w:sz="0" w:space="0" w:color="auto"/>
      </w:divBdr>
    </w:div>
    <w:div w:id="1046098057">
      <w:bodyDiv w:val="1"/>
      <w:marLeft w:val="0"/>
      <w:marRight w:val="0"/>
      <w:marTop w:val="0"/>
      <w:marBottom w:val="0"/>
      <w:divBdr>
        <w:top w:val="none" w:sz="0" w:space="0" w:color="auto"/>
        <w:left w:val="none" w:sz="0" w:space="0" w:color="auto"/>
        <w:bottom w:val="none" w:sz="0" w:space="0" w:color="auto"/>
        <w:right w:val="none" w:sz="0" w:space="0" w:color="auto"/>
      </w:divBdr>
    </w:div>
    <w:div w:id="1105613632">
      <w:bodyDiv w:val="1"/>
      <w:marLeft w:val="0"/>
      <w:marRight w:val="0"/>
      <w:marTop w:val="0"/>
      <w:marBottom w:val="0"/>
      <w:divBdr>
        <w:top w:val="none" w:sz="0" w:space="0" w:color="auto"/>
        <w:left w:val="none" w:sz="0" w:space="0" w:color="auto"/>
        <w:bottom w:val="none" w:sz="0" w:space="0" w:color="auto"/>
        <w:right w:val="none" w:sz="0" w:space="0" w:color="auto"/>
      </w:divBdr>
    </w:div>
    <w:div w:id="1145244825">
      <w:bodyDiv w:val="1"/>
      <w:marLeft w:val="0"/>
      <w:marRight w:val="0"/>
      <w:marTop w:val="0"/>
      <w:marBottom w:val="0"/>
      <w:divBdr>
        <w:top w:val="none" w:sz="0" w:space="0" w:color="auto"/>
        <w:left w:val="none" w:sz="0" w:space="0" w:color="auto"/>
        <w:bottom w:val="none" w:sz="0" w:space="0" w:color="auto"/>
        <w:right w:val="none" w:sz="0" w:space="0" w:color="auto"/>
      </w:divBdr>
    </w:div>
    <w:div w:id="1179153406">
      <w:bodyDiv w:val="1"/>
      <w:marLeft w:val="0"/>
      <w:marRight w:val="0"/>
      <w:marTop w:val="0"/>
      <w:marBottom w:val="0"/>
      <w:divBdr>
        <w:top w:val="none" w:sz="0" w:space="0" w:color="auto"/>
        <w:left w:val="none" w:sz="0" w:space="0" w:color="auto"/>
        <w:bottom w:val="none" w:sz="0" w:space="0" w:color="auto"/>
        <w:right w:val="none" w:sz="0" w:space="0" w:color="auto"/>
      </w:divBdr>
    </w:div>
    <w:div w:id="1190484818">
      <w:bodyDiv w:val="1"/>
      <w:marLeft w:val="0"/>
      <w:marRight w:val="0"/>
      <w:marTop w:val="0"/>
      <w:marBottom w:val="0"/>
      <w:divBdr>
        <w:top w:val="none" w:sz="0" w:space="0" w:color="auto"/>
        <w:left w:val="none" w:sz="0" w:space="0" w:color="auto"/>
        <w:bottom w:val="none" w:sz="0" w:space="0" w:color="auto"/>
        <w:right w:val="none" w:sz="0" w:space="0" w:color="auto"/>
      </w:divBdr>
    </w:div>
    <w:div w:id="1364476950">
      <w:bodyDiv w:val="1"/>
      <w:marLeft w:val="0"/>
      <w:marRight w:val="0"/>
      <w:marTop w:val="0"/>
      <w:marBottom w:val="0"/>
      <w:divBdr>
        <w:top w:val="none" w:sz="0" w:space="0" w:color="auto"/>
        <w:left w:val="none" w:sz="0" w:space="0" w:color="auto"/>
        <w:bottom w:val="none" w:sz="0" w:space="0" w:color="auto"/>
        <w:right w:val="none" w:sz="0" w:space="0" w:color="auto"/>
      </w:divBdr>
    </w:div>
    <w:div w:id="1373265536">
      <w:bodyDiv w:val="1"/>
      <w:marLeft w:val="0"/>
      <w:marRight w:val="0"/>
      <w:marTop w:val="0"/>
      <w:marBottom w:val="0"/>
      <w:divBdr>
        <w:top w:val="none" w:sz="0" w:space="0" w:color="auto"/>
        <w:left w:val="none" w:sz="0" w:space="0" w:color="auto"/>
        <w:bottom w:val="none" w:sz="0" w:space="0" w:color="auto"/>
        <w:right w:val="none" w:sz="0" w:space="0" w:color="auto"/>
      </w:divBdr>
    </w:div>
    <w:div w:id="1392774692">
      <w:bodyDiv w:val="1"/>
      <w:marLeft w:val="0"/>
      <w:marRight w:val="0"/>
      <w:marTop w:val="0"/>
      <w:marBottom w:val="0"/>
      <w:divBdr>
        <w:top w:val="none" w:sz="0" w:space="0" w:color="auto"/>
        <w:left w:val="none" w:sz="0" w:space="0" w:color="auto"/>
        <w:bottom w:val="none" w:sz="0" w:space="0" w:color="auto"/>
        <w:right w:val="none" w:sz="0" w:space="0" w:color="auto"/>
      </w:divBdr>
    </w:div>
    <w:div w:id="1406731263">
      <w:bodyDiv w:val="1"/>
      <w:marLeft w:val="0"/>
      <w:marRight w:val="0"/>
      <w:marTop w:val="0"/>
      <w:marBottom w:val="0"/>
      <w:divBdr>
        <w:top w:val="none" w:sz="0" w:space="0" w:color="auto"/>
        <w:left w:val="none" w:sz="0" w:space="0" w:color="auto"/>
        <w:bottom w:val="none" w:sz="0" w:space="0" w:color="auto"/>
        <w:right w:val="none" w:sz="0" w:space="0" w:color="auto"/>
      </w:divBdr>
    </w:div>
    <w:div w:id="1445271313">
      <w:bodyDiv w:val="1"/>
      <w:marLeft w:val="0"/>
      <w:marRight w:val="0"/>
      <w:marTop w:val="0"/>
      <w:marBottom w:val="0"/>
      <w:divBdr>
        <w:top w:val="none" w:sz="0" w:space="0" w:color="auto"/>
        <w:left w:val="none" w:sz="0" w:space="0" w:color="auto"/>
        <w:bottom w:val="none" w:sz="0" w:space="0" w:color="auto"/>
        <w:right w:val="none" w:sz="0" w:space="0" w:color="auto"/>
      </w:divBdr>
    </w:div>
    <w:div w:id="1466309309">
      <w:bodyDiv w:val="1"/>
      <w:marLeft w:val="0"/>
      <w:marRight w:val="0"/>
      <w:marTop w:val="0"/>
      <w:marBottom w:val="0"/>
      <w:divBdr>
        <w:top w:val="none" w:sz="0" w:space="0" w:color="auto"/>
        <w:left w:val="none" w:sz="0" w:space="0" w:color="auto"/>
        <w:bottom w:val="none" w:sz="0" w:space="0" w:color="auto"/>
        <w:right w:val="none" w:sz="0" w:space="0" w:color="auto"/>
      </w:divBdr>
    </w:div>
    <w:div w:id="1608460936">
      <w:bodyDiv w:val="1"/>
      <w:marLeft w:val="0"/>
      <w:marRight w:val="0"/>
      <w:marTop w:val="0"/>
      <w:marBottom w:val="0"/>
      <w:divBdr>
        <w:top w:val="none" w:sz="0" w:space="0" w:color="auto"/>
        <w:left w:val="none" w:sz="0" w:space="0" w:color="auto"/>
        <w:bottom w:val="none" w:sz="0" w:space="0" w:color="auto"/>
        <w:right w:val="none" w:sz="0" w:space="0" w:color="auto"/>
      </w:divBdr>
    </w:div>
    <w:div w:id="1667173094">
      <w:bodyDiv w:val="1"/>
      <w:marLeft w:val="0"/>
      <w:marRight w:val="0"/>
      <w:marTop w:val="0"/>
      <w:marBottom w:val="0"/>
      <w:divBdr>
        <w:top w:val="none" w:sz="0" w:space="0" w:color="auto"/>
        <w:left w:val="none" w:sz="0" w:space="0" w:color="auto"/>
        <w:bottom w:val="none" w:sz="0" w:space="0" w:color="auto"/>
        <w:right w:val="none" w:sz="0" w:space="0" w:color="auto"/>
      </w:divBdr>
    </w:div>
    <w:div w:id="1687513420">
      <w:bodyDiv w:val="1"/>
      <w:marLeft w:val="0"/>
      <w:marRight w:val="0"/>
      <w:marTop w:val="0"/>
      <w:marBottom w:val="0"/>
      <w:divBdr>
        <w:top w:val="none" w:sz="0" w:space="0" w:color="auto"/>
        <w:left w:val="none" w:sz="0" w:space="0" w:color="auto"/>
        <w:bottom w:val="none" w:sz="0" w:space="0" w:color="auto"/>
        <w:right w:val="none" w:sz="0" w:space="0" w:color="auto"/>
      </w:divBdr>
    </w:div>
    <w:div w:id="1805999089">
      <w:bodyDiv w:val="1"/>
      <w:marLeft w:val="0"/>
      <w:marRight w:val="0"/>
      <w:marTop w:val="0"/>
      <w:marBottom w:val="0"/>
      <w:divBdr>
        <w:top w:val="none" w:sz="0" w:space="0" w:color="auto"/>
        <w:left w:val="none" w:sz="0" w:space="0" w:color="auto"/>
        <w:bottom w:val="none" w:sz="0" w:space="0" w:color="auto"/>
        <w:right w:val="none" w:sz="0" w:space="0" w:color="auto"/>
      </w:divBdr>
    </w:div>
    <w:div w:id="1816096069">
      <w:bodyDiv w:val="1"/>
      <w:marLeft w:val="0"/>
      <w:marRight w:val="0"/>
      <w:marTop w:val="0"/>
      <w:marBottom w:val="0"/>
      <w:divBdr>
        <w:top w:val="none" w:sz="0" w:space="0" w:color="auto"/>
        <w:left w:val="none" w:sz="0" w:space="0" w:color="auto"/>
        <w:bottom w:val="none" w:sz="0" w:space="0" w:color="auto"/>
        <w:right w:val="none" w:sz="0" w:space="0" w:color="auto"/>
      </w:divBdr>
    </w:div>
    <w:div w:id="1820345370">
      <w:bodyDiv w:val="1"/>
      <w:marLeft w:val="0"/>
      <w:marRight w:val="0"/>
      <w:marTop w:val="0"/>
      <w:marBottom w:val="0"/>
      <w:divBdr>
        <w:top w:val="none" w:sz="0" w:space="0" w:color="auto"/>
        <w:left w:val="none" w:sz="0" w:space="0" w:color="auto"/>
        <w:bottom w:val="none" w:sz="0" w:space="0" w:color="auto"/>
        <w:right w:val="none" w:sz="0" w:space="0" w:color="auto"/>
      </w:divBdr>
    </w:div>
    <w:div w:id="1890727290">
      <w:bodyDiv w:val="1"/>
      <w:marLeft w:val="0"/>
      <w:marRight w:val="0"/>
      <w:marTop w:val="0"/>
      <w:marBottom w:val="0"/>
      <w:divBdr>
        <w:top w:val="none" w:sz="0" w:space="0" w:color="auto"/>
        <w:left w:val="none" w:sz="0" w:space="0" w:color="auto"/>
        <w:bottom w:val="none" w:sz="0" w:space="0" w:color="auto"/>
        <w:right w:val="none" w:sz="0" w:space="0" w:color="auto"/>
      </w:divBdr>
    </w:div>
    <w:div w:id="1927615957">
      <w:bodyDiv w:val="1"/>
      <w:marLeft w:val="0"/>
      <w:marRight w:val="0"/>
      <w:marTop w:val="0"/>
      <w:marBottom w:val="0"/>
      <w:divBdr>
        <w:top w:val="none" w:sz="0" w:space="0" w:color="auto"/>
        <w:left w:val="none" w:sz="0" w:space="0" w:color="auto"/>
        <w:bottom w:val="none" w:sz="0" w:space="0" w:color="auto"/>
        <w:right w:val="none" w:sz="0" w:space="0" w:color="auto"/>
      </w:divBdr>
    </w:div>
    <w:div w:id="1941788581">
      <w:bodyDiv w:val="1"/>
      <w:marLeft w:val="0"/>
      <w:marRight w:val="0"/>
      <w:marTop w:val="0"/>
      <w:marBottom w:val="0"/>
      <w:divBdr>
        <w:top w:val="none" w:sz="0" w:space="0" w:color="auto"/>
        <w:left w:val="none" w:sz="0" w:space="0" w:color="auto"/>
        <w:bottom w:val="none" w:sz="0" w:space="0" w:color="auto"/>
        <w:right w:val="none" w:sz="0" w:space="0" w:color="auto"/>
      </w:divBdr>
    </w:div>
    <w:div w:id="2012296898">
      <w:bodyDiv w:val="1"/>
      <w:marLeft w:val="0"/>
      <w:marRight w:val="0"/>
      <w:marTop w:val="0"/>
      <w:marBottom w:val="0"/>
      <w:divBdr>
        <w:top w:val="none" w:sz="0" w:space="0" w:color="auto"/>
        <w:left w:val="none" w:sz="0" w:space="0" w:color="auto"/>
        <w:bottom w:val="none" w:sz="0" w:space="0" w:color="auto"/>
        <w:right w:val="none" w:sz="0" w:space="0" w:color="auto"/>
      </w:divBdr>
    </w:div>
    <w:div w:id="2043090499">
      <w:bodyDiv w:val="1"/>
      <w:marLeft w:val="0"/>
      <w:marRight w:val="0"/>
      <w:marTop w:val="0"/>
      <w:marBottom w:val="0"/>
      <w:divBdr>
        <w:top w:val="none" w:sz="0" w:space="0" w:color="auto"/>
        <w:left w:val="none" w:sz="0" w:space="0" w:color="auto"/>
        <w:bottom w:val="none" w:sz="0" w:space="0" w:color="auto"/>
        <w:right w:val="none" w:sz="0" w:space="0" w:color="auto"/>
      </w:divBdr>
    </w:div>
    <w:div w:id="2070109787">
      <w:bodyDiv w:val="1"/>
      <w:marLeft w:val="0"/>
      <w:marRight w:val="0"/>
      <w:marTop w:val="0"/>
      <w:marBottom w:val="0"/>
      <w:divBdr>
        <w:top w:val="none" w:sz="0" w:space="0" w:color="auto"/>
        <w:left w:val="none" w:sz="0" w:space="0" w:color="auto"/>
        <w:bottom w:val="none" w:sz="0" w:space="0" w:color="auto"/>
        <w:right w:val="none" w:sz="0" w:space="0" w:color="auto"/>
      </w:divBdr>
    </w:div>
    <w:div w:id="2099136917">
      <w:bodyDiv w:val="1"/>
      <w:marLeft w:val="0"/>
      <w:marRight w:val="0"/>
      <w:marTop w:val="0"/>
      <w:marBottom w:val="0"/>
      <w:divBdr>
        <w:top w:val="none" w:sz="0" w:space="0" w:color="auto"/>
        <w:left w:val="none" w:sz="0" w:space="0" w:color="auto"/>
        <w:bottom w:val="none" w:sz="0" w:space="0" w:color="auto"/>
        <w:right w:val="none" w:sz="0" w:space="0" w:color="auto"/>
      </w:divBdr>
    </w:div>
    <w:div w:id="211847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F8847-6D8C-44B9-88B4-F82C68DE0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1553</Words>
  <Characters>9321</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10853</CharactersWithSpaces>
  <SharedDoc>false</SharedDoc>
  <HLinks>
    <vt:vector size="6" baseType="variant">
      <vt:variant>
        <vt:i4>7471165</vt:i4>
      </vt:variant>
      <vt:variant>
        <vt:i4>0</vt:i4>
      </vt:variant>
      <vt:variant>
        <vt:i4>0</vt:i4>
      </vt:variant>
      <vt:variant>
        <vt:i4>5</vt:i4>
      </vt:variant>
      <vt:variant>
        <vt:lpwstr>https://thegreenman.group/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T25</dc:creator>
  <cp:keywords/>
  <cp:lastModifiedBy>Tomasz Pietrzak</cp:lastModifiedBy>
  <cp:revision>2</cp:revision>
  <dcterms:created xsi:type="dcterms:W3CDTF">2024-07-29T07:13:00Z</dcterms:created>
  <dcterms:modified xsi:type="dcterms:W3CDTF">2024-07-29T07:13:00Z</dcterms:modified>
</cp:coreProperties>
</file>