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6A04D" w14:textId="7F5FE9E0" w:rsidR="00931DF9" w:rsidRPr="00570D3B" w:rsidRDefault="00DF14C1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33229676"/>
      <w:r w:rsidRPr="00570D3B"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2694D139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Pr="00570D3B" w:rsidRDefault="00931DF9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99C1C3" w14:textId="7953EF3B" w:rsidR="00EA27B1" w:rsidRPr="00570D3B" w:rsidRDefault="00EA27B1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Informacja prasowa: </w:t>
      </w:r>
      <w:r w:rsidR="00E57A4F">
        <w:rPr>
          <w:rFonts w:ascii="Arial" w:hAnsi="Arial" w:cs="Arial"/>
          <w:sz w:val="18"/>
          <w:szCs w:val="18"/>
        </w:rPr>
        <w:t>25</w:t>
      </w:r>
      <w:r w:rsidRPr="00570D3B">
        <w:rPr>
          <w:rFonts w:ascii="Arial" w:hAnsi="Arial" w:cs="Arial"/>
          <w:sz w:val="18"/>
          <w:szCs w:val="18"/>
        </w:rPr>
        <w:t>-</w:t>
      </w:r>
      <w:r w:rsidR="00907F43" w:rsidRPr="00570D3B">
        <w:rPr>
          <w:rFonts w:ascii="Arial" w:hAnsi="Arial" w:cs="Arial"/>
          <w:sz w:val="18"/>
          <w:szCs w:val="18"/>
        </w:rPr>
        <w:t>0</w:t>
      </w:r>
      <w:r w:rsidR="003C6339" w:rsidRPr="00570D3B">
        <w:rPr>
          <w:rFonts w:ascii="Arial" w:hAnsi="Arial" w:cs="Arial"/>
          <w:sz w:val="18"/>
          <w:szCs w:val="18"/>
        </w:rPr>
        <w:t>6</w:t>
      </w:r>
      <w:r w:rsidRPr="00570D3B">
        <w:rPr>
          <w:rFonts w:ascii="Arial" w:hAnsi="Arial" w:cs="Arial"/>
          <w:sz w:val="18"/>
          <w:szCs w:val="18"/>
        </w:rPr>
        <w:t>-</w:t>
      </w:r>
      <w:r w:rsidR="00907F43" w:rsidRPr="00570D3B">
        <w:rPr>
          <w:rFonts w:ascii="Arial" w:hAnsi="Arial" w:cs="Arial"/>
          <w:sz w:val="18"/>
          <w:szCs w:val="18"/>
        </w:rPr>
        <w:t>2024</w:t>
      </w:r>
      <w:r w:rsidRPr="00570D3B">
        <w:rPr>
          <w:rFonts w:ascii="Arial" w:hAnsi="Arial" w:cs="Arial"/>
          <w:sz w:val="18"/>
          <w:szCs w:val="18"/>
        </w:rPr>
        <w:t xml:space="preserve">, </w:t>
      </w:r>
      <w:r w:rsidR="004564A2" w:rsidRPr="00570D3B">
        <w:rPr>
          <w:rFonts w:ascii="Arial" w:hAnsi="Arial" w:cs="Arial"/>
          <w:sz w:val="18"/>
          <w:szCs w:val="18"/>
        </w:rPr>
        <w:t>Warszawa</w:t>
      </w:r>
    </w:p>
    <w:p w14:paraId="75AB01AC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Biuro Prasowe </w:t>
      </w:r>
      <w:r w:rsidR="004564A2" w:rsidRPr="00570D3B">
        <w:rPr>
          <w:rFonts w:ascii="Arial" w:hAnsi="Arial" w:cs="Arial"/>
          <w:sz w:val="18"/>
          <w:szCs w:val="18"/>
        </w:rPr>
        <w:t>Greenman Poland</w:t>
      </w:r>
    </w:p>
    <w:p w14:paraId="3C6C074A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>Tomasz Pietrzak/Guarana PR</w:t>
      </w:r>
    </w:p>
    <w:p w14:paraId="176079A0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tel. 509 106 256 mail. </w:t>
      </w:r>
      <w:r w:rsidR="00931DF9" w:rsidRPr="00570D3B">
        <w:rPr>
          <w:rFonts w:ascii="Arial" w:hAnsi="Arial" w:cs="Arial"/>
          <w:sz w:val="18"/>
          <w:szCs w:val="18"/>
        </w:rPr>
        <w:t>t</w:t>
      </w:r>
      <w:r w:rsidR="004B46C7" w:rsidRPr="00570D3B">
        <w:rPr>
          <w:rFonts w:ascii="Arial" w:hAnsi="Arial" w:cs="Arial"/>
          <w:sz w:val="18"/>
          <w:szCs w:val="18"/>
        </w:rPr>
        <w:t>omasz.pietrzak[at]guaranapr.pl</w:t>
      </w:r>
    </w:p>
    <w:p w14:paraId="320D3321" w14:textId="77777777" w:rsidR="00895A74" w:rsidRPr="00570D3B" w:rsidRDefault="00895A74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2877E7BC" w14:textId="77777777" w:rsidR="009A3CBB" w:rsidRPr="006D74EF" w:rsidRDefault="009A3CBB" w:rsidP="009A3CBB">
      <w:pPr>
        <w:pStyle w:val="Bezodstpw"/>
        <w:jc w:val="both"/>
        <w:rPr>
          <w:rFonts w:ascii="Arial" w:hAnsi="Arial" w:cs="Arial"/>
        </w:rPr>
      </w:pPr>
    </w:p>
    <w:p w14:paraId="1B01EFDD" w14:textId="6FEC2E73" w:rsidR="009A3CBB" w:rsidRDefault="009A3CBB" w:rsidP="009A3CBB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9A3CBB">
        <w:rPr>
          <w:rFonts w:ascii="Arial" w:hAnsi="Arial" w:cs="Arial"/>
          <w:b/>
          <w:bCs/>
          <w:sz w:val="24"/>
          <w:szCs w:val="24"/>
        </w:rPr>
        <w:t>Greenman Poland przedłuża umowy i zyskuje nowych</w:t>
      </w:r>
      <w:r w:rsidR="00145FE9">
        <w:rPr>
          <w:rFonts w:ascii="Arial" w:hAnsi="Arial" w:cs="Arial"/>
          <w:b/>
          <w:bCs/>
          <w:sz w:val="24"/>
          <w:szCs w:val="24"/>
        </w:rPr>
        <w:t xml:space="preserve"> najemców</w:t>
      </w:r>
    </w:p>
    <w:p w14:paraId="3A5A4A9F" w14:textId="77777777" w:rsidR="009A3CBB" w:rsidRPr="009A3CBB" w:rsidRDefault="009A3CBB" w:rsidP="009A3CBB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4C7FD893" w14:textId="77777777" w:rsidR="005E2190" w:rsidRPr="00E57A4F" w:rsidRDefault="005E2190" w:rsidP="005E219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37D5E3C" w14:textId="50D9A3C2" w:rsidR="00E57A4F" w:rsidRPr="00E57A4F" w:rsidRDefault="00E57A4F" w:rsidP="00E57A4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57A4F">
        <w:rPr>
          <w:rFonts w:ascii="Arial" w:hAnsi="Arial" w:cs="Arial"/>
          <w:b/>
          <w:bCs/>
          <w:sz w:val="20"/>
          <w:szCs w:val="20"/>
        </w:rPr>
        <w:t>Kolejna grupa najemców dostrzega potencjał centrów handlowych z portfolio Greenman Poland i przedłuża umowy najmu. Jak informuje dział leasingu, tylko w ostatnim czasie taką decyzję podjęło kilku najemców Nowych Czyżyn w Krakowie, Nowych Bielaw w Toruniu, a także Parku Handlowego Włocławek. Łącznie umowy przedłużono na blisko 2,5 tys. m</w:t>
      </w:r>
      <w:r w:rsidR="00FD2C4E">
        <w:rPr>
          <w:rFonts w:ascii="Arial" w:hAnsi="Arial" w:cs="Arial"/>
          <w:b/>
          <w:bCs/>
          <w:sz w:val="20"/>
          <w:szCs w:val="20"/>
        </w:rPr>
        <w:t xml:space="preserve"> kw.</w:t>
      </w:r>
    </w:p>
    <w:p w14:paraId="3B94F445" w14:textId="77777777" w:rsidR="00E57A4F" w:rsidRP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6BD80D" w14:textId="77777777" w:rsidR="00E57A4F" w:rsidRP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7A4F">
        <w:rPr>
          <w:rFonts w:ascii="Arial" w:hAnsi="Arial" w:cs="Arial"/>
          <w:sz w:val="20"/>
          <w:szCs w:val="20"/>
        </w:rPr>
        <w:t xml:space="preserve">– Za nami owocne rozmowy z kolejną grupą najemców, którzy obecni są w naszym portfolio. Fakt, że podjęli oni decyzję o przedłużeniu umów, pokazuje, że wieloletnia współpraca jest owocna – mówi </w:t>
      </w:r>
      <w:r w:rsidRPr="00E57A4F">
        <w:rPr>
          <w:rFonts w:ascii="Arial" w:hAnsi="Arial" w:cs="Arial"/>
          <w:b/>
          <w:bCs/>
          <w:sz w:val="20"/>
          <w:szCs w:val="20"/>
        </w:rPr>
        <w:t>Karolina Nitowska, Leasing Director w Greenman Poland</w:t>
      </w:r>
      <w:r w:rsidRPr="00E57A4F">
        <w:rPr>
          <w:rFonts w:ascii="Arial" w:hAnsi="Arial" w:cs="Arial"/>
          <w:sz w:val="20"/>
          <w:szCs w:val="20"/>
        </w:rPr>
        <w:t>. – Cieszymy się z niesłabnącego zaufania naszych partnerów oraz z faktu, że segment convenience jest biznesowo atrakcyjny dla coraz większej grupy najemców – dodaje.</w:t>
      </w:r>
    </w:p>
    <w:p w14:paraId="304C5486" w14:textId="77777777" w:rsidR="00E57A4F" w:rsidRP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61F88A" w14:textId="77777777" w:rsid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7A4F">
        <w:rPr>
          <w:rFonts w:ascii="Arial" w:hAnsi="Arial" w:cs="Arial"/>
          <w:sz w:val="20"/>
          <w:szCs w:val="20"/>
        </w:rPr>
        <w:t xml:space="preserve">Wśród </w:t>
      </w:r>
      <w:r>
        <w:rPr>
          <w:rFonts w:ascii="Arial" w:hAnsi="Arial" w:cs="Arial"/>
          <w:sz w:val="20"/>
          <w:szCs w:val="20"/>
        </w:rPr>
        <w:t>brandów</w:t>
      </w:r>
      <w:r w:rsidRPr="00E57A4F">
        <w:rPr>
          <w:rFonts w:ascii="Arial" w:hAnsi="Arial" w:cs="Arial"/>
          <w:sz w:val="20"/>
          <w:szCs w:val="20"/>
        </w:rPr>
        <w:t xml:space="preserve">, które zostają na kolejne lata w obiektach z portfolio Greenman Poland, znaleźć można m.in. popularną sieć sklepów z elektroniką i sprzętami AGD/RTV – Media Expert. Marka przedłużyła niedawno umowę z Parkiem Handlowym Włocławek. To obecnie jeden z kluczowych najemców w tym obiekcie. </w:t>
      </w:r>
    </w:p>
    <w:p w14:paraId="21110FB8" w14:textId="77777777" w:rsid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535E6F" w14:textId="2888BEEB" w:rsidR="00E57A4F" w:rsidRP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7A4F">
        <w:rPr>
          <w:rFonts w:ascii="Arial" w:hAnsi="Arial" w:cs="Arial"/>
          <w:sz w:val="20"/>
          <w:szCs w:val="20"/>
        </w:rPr>
        <w:t>Z kolei w Nowych Bielawach, w nowej odsłonie, właśnie zaprezentował się Rossmann, który jednocześnie powiększył swój sklep. W Nowych Czyżynach natomiast klienci nadal będą mogli odwiedzać popularną sieć restauracji Domino’s Pizza, teleoperatora Orange, sklep z odżywkami i suplementami SFD oraz sklep z kawą i herbatą z całego świata Czas na Herbatę.</w:t>
      </w:r>
    </w:p>
    <w:p w14:paraId="485ACCA6" w14:textId="77777777" w:rsidR="00E57A4F" w:rsidRP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69CDC0" w14:textId="77777777" w:rsidR="00E57A4F" w:rsidRP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7A4F">
        <w:rPr>
          <w:rFonts w:ascii="Arial" w:hAnsi="Arial" w:cs="Arial"/>
          <w:sz w:val="20"/>
          <w:szCs w:val="20"/>
        </w:rPr>
        <w:t>– Aneksy te wzmacniają ofertę centrów w ważnych dla nas i dla naszych klientów segmentach, m.in. elektroniki, zdrowia i urody, spożywczym czy usług. Ponadto coraz częściej pociągają za sobą także istotne zmiany w lokalach związane z generalnymi remontami czy wprowadzeniem najnowszych konceptów sklepów – mówi Karolina Nitowska.</w:t>
      </w:r>
    </w:p>
    <w:p w14:paraId="1C07299A" w14:textId="77777777" w:rsidR="00E57A4F" w:rsidRP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FC531DB" w14:textId="77777777" w:rsid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7A4F">
        <w:rPr>
          <w:rFonts w:ascii="Arial" w:hAnsi="Arial" w:cs="Arial"/>
          <w:sz w:val="20"/>
          <w:szCs w:val="20"/>
        </w:rPr>
        <w:t xml:space="preserve">Centra handlowe przyciągają także nowych partnerów. Jak informuje dział leasingu, już niebawem w Nowych Bielawach zadebiutuje placówka CUK Ubezpieczenia, mająca w swojej ofercie produkty znanych towarzystw. </w:t>
      </w:r>
    </w:p>
    <w:p w14:paraId="67C2567A" w14:textId="77777777" w:rsid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D3AD2B" w14:textId="3B16763A" w:rsidR="00E57A4F" w:rsidRP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7A4F">
        <w:rPr>
          <w:rFonts w:ascii="Arial" w:hAnsi="Arial" w:cs="Arial"/>
          <w:sz w:val="20"/>
          <w:szCs w:val="20"/>
        </w:rPr>
        <w:t>– Otwarcie CUK Ubezpieczenia wzmocni ofertę usług dostępnych w Nowych Bielawach. Już dziś klienci mogą znaleźć tu m.in. teleoperatorów, optyków, banki, biura podróży czy pralnię. Teraz także będą mogli załatwić niezbędne sprawy związane np. z ubezpieczeniem mieszkania, domu czy samochodu – mówi Karolina Nitowska.</w:t>
      </w:r>
    </w:p>
    <w:p w14:paraId="28A73B9D" w14:textId="77777777" w:rsidR="00E57A4F" w:rsidRP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422565" w14:textId="77777777" w:rsid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7A4F">
        <w:rPr>
          <w:rFonts w:ascii="Arial" w:hAnsi="Arial" w:cs="Arial"/>
          <w:sz w:val="20"/>
          <w:szCs w:val="20"/>
        </w:rPr>
        <w:t xml:space="preserve">Centra z portfolio Greenman Poland coraz częściej zwracają uwagę marek – zarówno tych, które tu debiutują, jak i obecnych od wielu lat. Powód? – Każde z naszych centrów zostało zmodernizowane, a do tego dwa obiekty – Nowe Bielawy i Nową Górną – rozbudowaliśmy o nowoczesne parki handlowe, przy okazji przekształcając centra w rodzinne kompleksy convenience – mówi Leasing Director. </w:t>
      </w:r>
    </w:p>
    <w:p w14:paraId="3A52FED5" w14:textId="77777777" w:rsid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DD6E30" w14:textId="30A162AB" w:rsidR="009A3CBB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7A4F">
        <w:rPr>
          <w:rFonts w:ascii="Arial" w:hAnsi="Arial" w:cs="Arial"/>
          <w:sz w:val="20"/>
          <w:szCs w:val="20"/>
        </w:rPr>
        <w:t>– Ponadto każde z naszych centrów wpisuje się dziś w mocny w Polsce trend lokalnych zakupów, a także w boom, jaki ma miejsce w sektorze convenience. Nowe Bielawy, Nowe Czyżyny i Nowa Górna to także centra, które za sprawą zmian i rozwoju oferty mają obecnie mocną pozycję na lokalnych rynkach – dodaje.</w:t>
      </w:r>
    </w:p>
    <w:p w14:paraId="239EAC6A" w14:textId="77777777" w:rsidR="00E57A4F" w:rsidRDefault="00E57A4F" w:rsidP="00E57A4F">
      <w:pPr>
        <w:pStyle w:val="Bezodstpw"/>
        <w:rPr>
          <w:rStyle w:val="Pogrubienie"/>
          <w:rFonts w:ascii="Arial" w:hAnsi="Arial" w:cs="Arial"/>
          <w:sz w:val="16"/>
          <w:szCs w:val="16"/>
          <w:lang w:val="en-US"/>
        </w:rPr>
      </w:pPr>
    </w:p>
    <w:p w14:paraId="26CD397C" w14:textId="77777777" w:rsidR="00E57A4F" w:rsidRDefault="00E57A4F" w:rsidP="00E57A4F">
      <w:pPr>
        <w:pStyle w:val="Bezodstpw"/>
        <w:rPr>
          <w:rStyle w:val="Pogrubienie"/>
          <w:rFonts w:ascii="Arial" w:hAnsi="Arial" w:cs="Arial"/>
          <w:sz w:val="16"/>
          <w:szCs w:val="16"/>
          <w:lang w:val="en-US"/>
        </w:rPr>
      </w:pPr>
    </w:p>
    <w:p w14:paraId="6513A23D" w14:textId="19492997" w:rsidR="00E57A4F" w:rsidRPr="00570D3B" w:rsidRDefault="00E57A4F" w:rsidP="00E57A4F">
      <w:pPr>
        <w:pStyle w:val="Bezodstpw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  <w:r w:rsidRPr="00570D3B">
        <w:rPr>
          <w:rStyle w:val="Pogrubienie"/>
          <w:rFonts w:ascii="Arial" w:hAnsi="Arial" w:cs="Arial"/>
          <w:sz w:val="16"/>
          <w:szCs w:val="16"/>
          <w:lang w:val="en-US"/>
        </w:rPr>
        <w:t>Źródło: Greenman Poland</w:t>
      </w:r>
    </w:p>
    <w:p w14:paraId="7ED24E52" w14:textId="77777777" w:rsid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20F9E4" w14:textId="77777777" w:rsidR="00E57A4F" w:rsidRPr="00E57A4F" w:rsidRDefault="00E57A4F" w:rsidP="00E57A4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394E92A" w14:textId="44031BBD" w:rsidR="00E57A4F" w:rsidRDefault="00E57A4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64BF08F" w14:textId="77777777" w:rsidR="009A3CBB" w:rsidRDefault="009A3CBB" w:rsidP="009A3CB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C1B989" w14:textId="77777777" w:rsidR="009A3CBB" w:rsidRDefault="009A3CBB" w:rsidP="009A3CBB">
      <w:pPr>
        <w:tabs>
          <w:tab w:val="left" w:pos="1695"/>
        </w:tabs>
        <w:jc w:val="both"/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***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ab/>
      </w:r>
    </w:p>
    <w:p w14:paraId="6CF7AF55" w14:textId="77777777" w:rsidR="009A3CBB" w:rsidRDefault="009A3CBB" w:rsidP="009A3CBB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Centrum Nowe Czyżyny</w:t>
      </w:r>
      <w:r>
        <w:rPr>
          <w:rFonts w:ascii="Arial" w:hAnsi="Arial" w:cs="Arial"/>
          <w:sz w:val="16"/>
          <w:szCs w:val="16"/>
        </w:rPr>
        <w:t xml:space="preserve"> zlokalizowane jest w Krakowie przy ul. Medweckiego 2. Otwarty w 2002 roku obiekt ma powierzchnię 31 tys. m kw. GLA i liczy sobie 77 sklepów, restauracji i punktów usługowych. Wśród kluczowych najemców znaleźć można m.in. Carrefour, Leroy Merlin, Jysk, RTV Euro AGD, home&amp;you, Douglas, Rossmann, Big Star, Pepco, KFC i CCC. Zmotoryzowani mają tutaj do dyspozycji ponad 850 miejsc postojowych. /nowe-czyzyny.pl</w:t>
      </w:r>
    </w:p>
    <w:p w14:paraId="750E45AA" w14:textId="77777777" w:rsidR="009A3CBB" w:rsidRDefault="009A3CBB" w:rsidP="009A3CBB">
      <w:pPr>
        <w:pStyle w:val="Bezodstpw"/>
        <w:rPr>
          <w:rFonts w:ascii="Arial" w:hAnsi="Arial" w:cs="Arial"/>
          <w:sz w:val="16"/>
          <w:szCs w:val="16"/>
        </w:rPr>
      </w:pPr>
    </w:p>
    <w:p w14:paraId="3F937947" w14:textId="77777777" w:rsidR="009A3CBB" w:rsidRDefault="009A3CBB" w:rsidP="009A3CBB">
      <w:pPr>
        <w:pStyle w:val="Bezodstpw"/>
        <w:rPr>
          <w:rFonts w:ascii="Arial" w:hAnsi="Arial" w:cs="Arial"/>
          <w:color w:val="262626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  <w:lang w:eastAsia="pl-PL"/>
        </w:rPr>
        <w:t>Centrum Nowe Bielawy</w:t>
      </w:r>
      <w:r>
        <w:rPr>
          <w:rFonts w:ascii="Arial" w:hAnsi="Arial" w:cs="Arial"/>
          <w:sz w:val="16"/>
          <w:szCs w:val="16"/>
          <w:lang w:eastAsia="pl-PL"/>
        </w:rPr>
        <w:t xml:space="preserve"> zlokalizowane jest we wschodniej części Torunia w pobliżu DK 15 i 80 oraz autostrady A1, niecałe 15 minut od Starego Miasta. Otwarty w 2002 roku obiekt ma powierzchnię 25 tys. m kw. GLA i liczy sobie 70 sklepów, restauracji i punktów usługowych. Wśród kluczowych najemców znaleźć można m.in. Carrefour, Jysk, RTV Euro AGD, Douglas, home&amp;you, Carry, Rossmann, Pepco i CCC. Zrealizowana w 2022 roku i 2023 roku rozbudowa obiektu, zaowocowała powstaniem 2 nowoczesnych parków handlowych. W ich ofercie dostępne są sklepy: NEONET, Komfort, TEDi, Sinsay, Action i Maxi Zoo. </w:t>
      </w:r>
      <w:r>
        <w:rPr>
          <w:rFonts w:ascii="Arial" w:hAnsi="Arial" w:cs="Arial"/>
          <w:color w:val="262626"/>
          <w:sz w:val="16"/>
          <w:szCs w:val="16"/>
        </w:rPr>
        <w:t xml:space="preserve">/ www.nowe-bielawy.pl </w:t>
      </w:r>
    </w:p>
    <w:p w14:paraId="17A06FA3" w14:textId="77777777" w:rsidR="009A3CBB" w:rsidRDefault="009A3CBB" w:rsidP="009A3CBB">
      <w:pPr>
        <w:pStyle w:val="Bezodstpw"/>
        <w:rPr>
          <w:rFonts w:ascii="Arial" w:hAnsi="Arial" w:cs="Arial"/>
          <w:sz w:val="16"/>
          <w:szCs w:val="16"/>
          <w:lang w:eastAsia="pl-PL"/>
        </w:rPr>
      </w:pPr>
    </w:p>
    <w:p w14:paraId="4D4D9C71" w14:textId="77777777" w:rsidR="009A3CBB" w:rsidRDefault="009A3CBB" w:rsidP="00E57A4F">
      <w:pPr>
        <w:pStyle w:val="Bezodstpw"/>
        <w:rPr>
          <w:rFonts w:ascii="Arial" w:hAnsi="Arial" w:cs="Arial"/>
          <w:color w:val="122228"/>
          <w:sz w:val="16"/>
          <w:szCs w:val="16"/>
        </w:rPr>
      </w:pPr>
    </w:p>
    <w:p w14:paraId="55CE671A" w14:textId="77777777" w:rsidR="00DD3069" w:rsidRPr="00570D3B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570D3B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Poland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t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Spar.</w:t>
      </w:r>
    </w:p>
    <w:p w14:paraId="704398EB" w14:textId="77777777" w:rsidR="00DD3069" w:rsidRPr="00570D3B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7872E260" w14:textId="158FDD99" w:rsidR="00DD3069" w:rsidRPr="00570D3B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570D3B">
        <w:rPr>
          <w:rFonts w:ascii="Arial" w:hAnsi="Arial" w:cs="Arial"/>
          <w:sz w:val="16"/>
          <w:szCs w:val="16"/>
          <w:shd w:val="clear" w:color="auto" w:fill="FFFFFF"/>
        </w:rPr>
        <w:t xml:space="preserve">Greenman Poland jest częścią </w:t>
      </w:r>
      <w:r w:rsidRPr="00570D3B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Group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t>, grupy spółek zależnych, obejmującej podmioty podlegające regulacjom Centralnego Banku Irlandii (CBI), CSSF i inne kontrolowane przez jeden podmiot – Greenman Holdings Limited. Grupa powstała w 2020 roku, jej główna siedziba znajduje się w Dublinie</w:t>
      </w:r>
      <w:r w:rsidR="00DF69EC" w:rsidRPr="00570D3B">
        <w:rPr>
          <w:rFonts w:ascii="Arial" w:hAnsi="Arial" w:cs="Arial"/>
          <w:sz w:val="16"/>
          <w:szCs w:val="16"/>
          <w:shd w:val="clear" w:color="auto" w:fill="FFFFFF"/>
        </w:rPr>
        <w:t xml:space="preserve"> w Irlandii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t>, a spółki zależne zatrudniają ok. 130 osób pracujących w 6 krajach i prowadzących działalność w 5 odrębnych obszarach biznesowych: usługi finansowe, nieruchomości, żywność i rolnictwo, media oraz zintegrowane sieci. Greenman Investments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Pr="00570D3B" w:rsidRDefault="009C13DF" w:rsidP="008D0A85">
      <w:pPr>
        <w:pStyle w:val="Bezodstpw"/>
        <w:rPr>
          <w:rStyle w:val="Pogrubienie"/>
          <w:rFonts w:ascii="Arial" w:hAnsi="Arial" w:cs="Arial"/>
          <w:sz w:val="16"/>
          <w:szCs w:val="16"/>
        </w:rPr>
      </w:pPr>
    </w:p>
    <w:p w14:paraId="14F6F9D6" w14:textId="77777777" w:rsidR="002723AC" w:rsidRPr="00570D3B" w:rsidRDefault="002723AC" w:rsidP="00931DF9">
      <w:pPr>
        <w:spacing w:line="240" w:lineRule="auto"/>
        <w:jc w:val="both"/>
        <w:rPr>
          <w:rFonts w:ascii="Arial" w:hAnsi="Arial" w:cs="Arial"/>
          <w:b/>
          <w:bCs/>
          <w:sz w:val="16"/>
          <w:szCs w:val="16"/>
          <w:lang w:val="en-US"/>
        </w:rPr>
      </w:pPr>
    </w:p>
    <w:sectPr w:rsidR="002723AC" w:rsidRPr="00570D3B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CD7BEE" w14:textId="77777777" w:rsidR="009E7401" w:rsidRDefault="009E7401" w:rsidP="002723AC">
      <w:pPr>
        <w:spacing w:after="0" w:line="240" w:lineRule="auto"/>
      </w:pPr>
      <w:r>
        <w:separator/>
      </w:r>
    </w:p>
  </w:endnote>
  <w:endnote w:type="continuationSeparator" w:id="0">
    <w:p w14:paraId="0451B63C" w14:textId="77777777" w:rsidR="009E7401" w:rsidRDefault="009E7401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BE40AF" w14:textId="77777777" w:rsidR="009E7401" w:rsidRDefault="009E7401" w:rsidP="002723AC">
      <w:pPr>
        <w:spacing w:after="0" w:line="240" w:lineRule="auto"/>
      </w:pPr>
      <w:r>
        <w:separator/>
      </w:r>
    </w:p>
  </w:footnote>
  <w:footnote w:type="continuationSeparator" w:id="0">
    <w:p w14:paraId="0682A317" w14:textId="77777777" w:rsidR="009E7401" w:rsidRDefault="009E7401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58B5"/>
    <w:rsid w:val="00005936"/>
    <w:rsid w:val="000116CD"/>
    <w:rsid w:val="00022B43"/>
    <w:rsid w:val="000251A0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4345"/>
    <w:rsid w:val="00044902"/>
    <w:rsid w:val="0005213F"/>
    <w:rsid w:val="000548C3"/>
    <w:rsid w:val="00055212"/>
    <w:rsid w:val="00056128"/>
    <w:rsid w:val="00056582"/>
    <w:rsid w:val="00061296"/>
    <w:rsid w:val="00074719"/>
    <w:rsid w:val="0007538F"/>
    <w:rsid w:val="000771E2"/>
    <w:rsid w:val="00077D26"/>
    <w:rsid w:val="00080EF8"/>
    <w:rsid w:val="000839B3"/>
    <w:rsid w:val="000854AD"/>
    <w:rsid w:val="00087E69"/>
    <w:rsid w:val="00090383"/>
    <w:rsid w:val="00090BDE"/>
    <w:rsid w:val="0009252D"/>
    <w:rsid w:val="00092C6B"/>
    <w:rsid w:val="000932C8"/>
    <w:rsid w:val="0009573C"/>
    <w:rsid w:val="00096B09"/>
    <w:rsid w:val="00096EC2"/>
    <w:rsid w:val="00097653"/>
    <w:rsid w:val="000A1BE0"/>
    <w:rsid w:val="000A2597"/>
    <w:rsid w:val="000A48A4"/>
    <w:rsid w:val="000A5297"/>
    <w:rsid w:val="000A60BE"/>
    <w:rsid w:val="000A719B"/>
    <w:rsid w:val="000A7626"/>
    <w:rsid w:val="000A7A51"/>
    <w:rsid w:val="000B0B9D"/>
    <w:rsid w:val="000B2580"/>
    <w:rsid w:val="000B3B8F"/>
    <w:rsid w:val="000B431C"/>
    <w:rsid w:val="000B51C3"/>
    <w:rsid w:val="000C0D29"/>
    <w:rsid w:val="000C137A"/>
    <w:rsid w:val="000C18A4"/>
    <w:rsid w:val="000C4F3F"/>
    <w:rsid w:val="000C6E3B"/>
    <w:rsid w:val="000D526D"/>
    <w:rsid w:val="000E16D7"/>
    <w:rsid w:val="000E208A"/>
    <w:rsid w:val="000E3835"/>
    <w:rsid w:val="000F433B"/>
    <w:rsid w:val="000F4F6C"/>
    <w:rsid w:val="000F4FE6"/>
    <w:rsid w:val="000F510B"/>
    <w:rsid w:val="000F5D5A"/>
    <w:rsid w:val="000F722D"/>
    <w:rsid w:val="000F770B"/>
    <w:rsid w:val="00102643"/>
    <w:rsid w:val="0010375A"/>
    <w:rsid w:val="00106CD3"/>
    <w:rsid w:val="00106EBF"/>
    <w:rsid w:val="001073B2"/>
    <w:rsid w:val="0011014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32C5"/>
    <w:rsid w:val="001349B1"/>
    <w:rsid w:val="001351A4"/>
    <w:rsid w:val="0013767D"/>
    <w:rsid w:val="00140EFF"/>
    <w:rsid w:val="00142563"/>
    <w:rsid w:val="00142941"/>
    <w:rsid w:val="001432E1"/>
    <w:rsid w:val="0014477B"/>
    <w:rsid w:val="00145355"/>
    <w:rsid w:val="00145FE9"/>
    <w:rsid w:val="00150C6F"/>
    <w:rsid w:val="001510FD"/>
    <w:rsid w:val="00152C9A"/>
    <w:rsid w:val="00155E51"/>
    <w:rsid w:val="001609D0"/>
    <w:rsid w:val="001651A4"/>
    <w:rsid w:val="001655B8"/>
    <w:rsid w:val="0016769B"/>
    <w:rsid w:val="00172911"/>
    <w:rsid w:val="00172D9C"/>
    <w:rsid w:val="00174328"/>
    <w:rsid w:val="00181676"/>
    <w:rsid w:val="00181931"/>
    <w:rsid w:val="001825AF"/>
    <w:rsid w:val="00183B72"/>
    <w:rsid w:val="0018610B"/>
    <w:rsid w:val="00186187"/>
    <w:rsid w:val="0019391B"/>
    <w:rsid w:val="001944CC"/>
    <w:rsid w:val="001A1ECC"/>
    <w:rsid w:val="001A59D2"/>
    <w:rsid w:val="001A5E3E"/>
    <w:rsid w:val="001A6436"/>
    <w:rsid w:val="001A72D9"/>
    <w:rsid w:val="001A78E9"/>
    <w:rsid w:val="001B1F2A"/>
    <w:rsid w:val="001B5A9F"/>
    <w:rsid w:val="001B7B73"/>
    <w:rsid w:val="001C3948"/>
    <w:rsid w:val="001C7A54"/>
    <w:rsid w:val="001D0029"/>
    <w:rsid w:val="001D0CE4"/>
    <w:rsid w:val="001D15B3"/>
    <w:rsid w:val="001E39B0"/>
    <w:rsid w:val="001E4728"/>
    <w:rsid w:val="001E4E9E"/>
    <w:rsid w:val="001E75BE"/>
    <w:rsid w:val="001F27B3"/>
    <w:rsid w:val="001F3E16"/>
    <w:rsid w:val="001F4B56"/>
    <w:rsid w:val="001F5A2A"/>
    <w:rsid w:val="001F74E0"/>
    <w:rsid w:val="002017A3"/>
    <w:rsid w:val="00202EA3"/>
    <w:rsid w:val="00205688"/>
    <w:rsid w:val="00206B86"/>
    <w:rsid w:val="00207D6A"/>
    <w:rsid w:val="00211409"/>
    <w:rsid w:val="00211469"/>
    <w:rsid w:val="00212654"/>
    <w:rsid w:val="00213186"/>
    <w:rsid w:val="002145E1"/>
    <w:rsid w:val="00215DDF"/>
    <w:rsid w:val="002168C6"/>
    <w:rsid w:val="002168F7"/>
    <w:rsid w:val="00216B68"/>
    <w:rsid w:val="00220C25"/>
    <w:rsid w:val="0022236B"/>
    <w:rsid w:val="0022347E"/>
    <w:rsid w:val="00225C57"/>
    <w:rsid w:val="00227AC0"/>
    <w:rsid w:val="0023103B"/>
    <w:rsid w:val="002330B9"/>
    <w:rsid w:val="002335E1"/>
    <w:rsid w:val="00235013"/>
    <w:rsid w:val="00235045"/>
    <w:rsid w:val="0023631F"/>
    <w:rsid w:val="0023689C"/>
    <w:rsid w:val="00236A74"/>
    <w:rsid w:val="002377A8"/>
    <w:rsid w:val="002377CC"/>
    <w:rsid w:val="00237A55"/>
    <w:rsid w:val="002447DE"/>
    <w:rsid w:val="00245D29"/>
    <w:rsid w:val="002471BA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2F28"/>
    <w:rsid w:val="002944C2"/>
    <w:rsid w:val="00295B83"/>
    <w:rsid w:val="00296A5D"/>
    <w:rsid w:val="002A4EE0"/>
    <w:rsid w:val="002A4F07"/>
    <w:rsid w:val="002B2F5A"/>
    <w:rsid w:val="002B3150"/>
    <w:rsid w:val="002B3428"/>
    <w:rsid w:val="002B46E0"/>
    <w:rsid w:val="002B6EA9"/>
    <w:rsid w:val="002B79E8"/>
    <w:rsid w:val="002C0C31"/>
    <w:rsid w:val="002C1566"/>
    <w:rsid w:val="002C1B22"/>
    <w:rsid w:val="002C3691"/>
    <w:rsid w:val="002C6A4F"/>
    <w:rsid w:val="002D2809"/>
    <w:rsid w:val="002D3940"/>
    <w:rsid w:val="002E1147"/>
    <w:rsid w:val="002E12C2"/>
    <w:rsid w:val="002E1309"/>
    <w:rsid w:val="002E2874"/>
    <w:rsid w:val="002E4BE8"/>
    <w:rsid w:val="002E5001"/>
    <w:rsid w:val="002E6589"/>
    <w:rsid w:val="002E685D"/>
    <w:rsid w:val="002E6E25"/>
    <w:rsid w:val="002E7101"/>
    <w:rsid w:val="002F09AE"/>
    <w:rsid w:val="002F0BC4"/>
    <w:rsid w:val="002F229E"/>
    <w:rsid w:val="002F3998"/>
    <w:rsid w:val="002F596C"/>
    <w:rsid w:val="002F5D2F"/>
    <w:rsid w:val="00300B14"/>
    <w:rsid w:val="00302448"/>
    <w:rsid w:val="003070FF"/>
    <w:rsid w:val="00314EBA"/>
    <w:rsid w:val="00315E29"/>
    <w:rsid w:val="00317D71"/>
    <w:rsid w:val="003228C4"/>
    <w:rsid w:val="003265E8"/>
    <w:rsid w:val="00332EEA"/>
    <w:rsid w:val="003334F2"/>
    <w:rsid w:val="00333DA7"/>
    <w:rsid w:val="00335BC1"/>
    <w:rsid w:val="00335D64"/>
    <w:rsid w:val="00336EBB"/>
    <w:rsid w:val="00337DA0"/>
    <w:rsid w:val="00342A3B"/>
    <w:rsid w:val="00343E3F"/>
    <w:rsid w:val="00344F29"/>
    <w:rsid w:val="003476A8"/>
    <w:rsid w:val="00350BB7"/>
    <w:rsid w:val="00353336"/>
    <w:rsid w:val="00357D27"/>
    <w:rsid w:val="00360683"/>
    <w:rsid w:val="00361988"/>
    <w:rsid w:val="00364728"/>
    <w:rsid w:val="00366880"/>
    <w:rsid w:val="00367992"/>
    <w:rsid w:val="00367A34"/>
    <w:rsid w:val="00370661"/>
    <w:rsid w:val="00371B5B"/>
    <w:rsid w:val="003814D5"/>
    <w:rsid w:val="00383DA2"/>
    <w:rsid w:val="003856DD"/>
    <w:rsid w:val="00385BF4"/>
    <w:rsid w:val="003915EA"/>
    <w:rsid w:val="00391FC9"/>
    <w:rsid w:val="003973E6"/>
    <w:rsid w:val="003A1FDB"/>
    <w:rsid w:val="003A7318"/>
    <w:rsid w:val="003B4F8D"/>
    <w:rsid w:val="003B4FC3"/>
    <w:rsid w:val="003B650C"/>
    <w:rsid w:val="003B711D"/>
    <w:rsid w:val="003B7357"/>
    <w:rsid w:val="003C09DE"/>
    <w:rsid w:val="003C1F5D"/>
    <w:rsid w:val="003C2303"/>
    <w:rsid w:val="003C6339"/>
    <w:rsid w:val="003D0378"/>
    <w:rsid w:val="003D1B6C"/>
    <w:rsid w:val="003D1D27"/>
    <w:rsid w:val="003D3FF0"/>
    <w:rsid w:val="003D4550"/>
    <w:rsid w:val="003D476A"/>
    <w:rsid w:val="003D4C23"/>
    <w:rsid w:val="003D5F0B"/>
    <w:rsid w:val="003E2392"/>
    <w:rsid w:val="003E4A84"/>
    <w:rsid w:val="003F5329"/>
    <w:rsid w:val="004006E0"/>
    <w:rsid w:val="00405666"/>
    <w:rsid w:val="00406448"/>
    <w:rsid w:val="004064C4"/>
    <w:rsid w:val="00407450"/>
    <w:rsid w:val="00411A3C"/>
    <w:rsid w:val="00412057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306AB"/>
    <w:rsid w:val="004308E8"/>
    <w:rsid w:val="004319C1"/>
    <w:rsid w:val="0043219C"/>
    <w:rsid w:val="00434953"/>
    <w:rsid w:val="00435C7A"/>
    <w:rsid w:val="004420BE"/>
    <w:rsid w:val="004426C1"/>
    <w:rsid w:val="00443AAE"/>
    <w:rsid w:val="00446054"/>
    <w:rsid w:val="00446063"/>
    <w:rsid w:val="00446084"/>
    <w:rsid w:val="004468C7"/>
    <w:rsid w:val="00446C9E"/>
    <w:rsid w:val="004474C3"/>
    <w:rsid w:val="00450C5E"/>
    <w:rsid w:val="00452A6C"/>
    <w:rsid w:val="00456051"/>
    <w:rsid w:val="004564A2"/>
    <w:rsid w:val="00460B55"/>
    <w:rsid w:val="00462BC1"/>
    <w:rsid w:val="00463086"/>
    <w:rsid w:val="00464718"/>
    <w:rsid w:val="00464F97"/>
    <w:rsid w:val="0046527F"/>
    <w:rsid w:val="004725E3"/>
    <w:rsid w:val="00476F17"/>
    <w:rsid w:val="00477F92"/>
    <w:rsid w:val="00482FF9"/>
    <w:rsid w:val="00483396"/>
    <w:rsid w:val="00483FC0"/>
    <w:rsid w:val="00484510"/>
    <w:rsid w:val="00485994"/>
    <w:rsid w:val="00486677"/>
    <w:rsid w:val="00486BAB"/>
    <w:rsid w:val="004870BE"/>
    <w:rsid w:val="0049003E"/>
    <w:rsid w:val="0049081B"/>
    <w:rsid w:val="004947F8"/>
    <w:rsid w:val="00495C91"/>
    <w:rsid w:val="004A0A11"/>
    <w:rsid w:val="004A0F13"/>
    <w:rsid w:val="004A4618"/>
    <w:rsid w:val="004B154D"/>
    <w:rsid w:val="004B2E07"/>
    <w:rsid w:val="004B46C7"/>
    <w:rsid w:val="004B6626"/>
    <w:rsid w:val="004B6E7A"/>
    <w:rsid w:val="004B6EC1"/>
    <w:rsid w:val="004B75D0"/>
    <w:rsid w:val="004C0191"/>
    <w:rsid w:val="004C1202"/>
    <w:rsid w:val="004C3193"/>
    <w:rsid w:val="004C3E66"/>
    <w:rsid w:val="004C7BD8"/>
    <w:rsid w:val="004D2B99"/>
    <w:rsid w:val="004D3B34"/>
    <w:rsid w:val="004D3DA0"/>
    <w:rsid w:val="004D4AA5"/>
    <w:rsid w:val="004D5075"/>
    <w:rsid w:val="004D6649"/>
    <w:rsid w:val="004D6A4E"/>
    <w:rsid w:val="004D6D08"/>
    <w:rsid w:val="004D6F3B"/>
    <w:rsid w:val="004D7AEE"/>
    <w:rsid w:val="004D7B4C"/>
    <w:rsid w:val="004E0C35"/>
    <w:rsid w:val="004F1F7C"/>
    <w:rsid w:val="004F2DDF"/>
    <w:rsid w:val="004F66D9"/>
    <w:rsid w:val="00500369"/>
    <w:rsid w:val="0050392C"/>
    <w:rsid w:val="00507EF9"/>
    <w:rsid w:val="00510332"/>
    <w:rsid w:val="00510D87"/>
    <w:rsid w:val="00511D1E"/>
    <w:rsid w:val="00512C5E"/>
    <w:rsid w:val="00513491"/>
    <w:rsid w:val="00515FB5"/>
    <w:rsid w:val="005171C1"/>
    <w:rsid w:val="0052016B"/>
    <w:rsid w:val="00520665"/>
    <w:rsid w:val="00524FA7"/>
    <w:rsid w:val="00532370"/>
    <w:rsid w:val="00532C4D"/>
    <w:rsid w:val="005346F9"/>
    <w:rsid w:val="005418BB"/>
    <w:rsid w:val="0054484A"/>
    <w:rsid w:val="00553866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D3B"/>
    <w:rsid w:val="00570F9A"/>
    <w:rsid w:val="00574BBE"/>
    <w:rsid w:val="00575E1E"/>
    <w:rsid w:val="00580632"/>
    <w:rsid w:val="005809D3"/>
    <w:rsid w:val="005826D3"/>
    <w:rsid w:val="005827C7"/>
    <w:rsid w:val="005837C7"/>
    <w:rsid w:val="005862A5"/>
    <w:rsid w:val="005878B0"/>
    <w:rsid w:val="005925F4"/>
    <w:rsid w:val="00592DD6"/>
    <w:rsid w:val="00596011"/>
    <w:rsid w:val="00597100"/>
    <w:rsid w:val="005A07B0"/>
    <w:rsid w:val="005A2773"/>
    <w:rsid w:val="005A418C"/>
    <w:rsid w:val="005A5C85"/>
    <w:rsid w:val="005B0220"/>
    <w:rsid w:val="005B0388"/>
    <w:rsid w:val="005B040C"/>
    <w:rsid w:val="005B1362"/>
    <w:rsid w:val="005B32F2"/>
    <w:rsid w:val="005B4612"/>
    <w:rsid w:val="005C0880"/>
    <w:rsid w:val="005C4EDB"/>
    <w:rsid w:val="005C5CF7"/>
    <w:rsid w:val="005D0445"/>
    <w:rsid w:val="005D3431"/>
    <w:rsid w:val="005D4BBD"/>
    <w:rsid w:val="005D6A2C"/>
    <w:rsid w:val="005D6F0A"/>
    <w:rsid w:val="005E2190"/>
    <w:rsid w:val="005E4BE2"/>
    <w:rsid w:val="005E4E4D"/>
    <w:rsid w:val="005E6C02"/>
    <w:rsid w:val="005F009B"/>
    <w:rsid w:val="005F4452"/>
    <w:rsid w:val="005F61D0"/>
    <w:rsid w:val="00604A17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50FC"/>
    <w:rsid w:val="00632E3C"/>
    <w:rsid w:val="006367F5"/>
    <w:rsid w:val="00636EF0"/>
    <w:rsid w:val="00637BC2"/>
    <w:rsid w:val="0064000C"/>
    <w:rsid w:val="00641ACD"/>
    <w:rsid w:val="00642D78"/>
    <w:rsid w:val="006432D9"/>
    <w:rsid w:val="006465BC"/>
    <w:rsid w:val="0064666A"/>
    <w:rsid w:val="00646CB0"/>
    <w:rsid w:val="00655B95"/>
    <w:rsid w:val="00660288"/>
    <w:rsid w:val="00660B43"/>
    <w:rsid w:val="006630BE"/>
    <w:rsid w:val="0066449F"/>
    <w:rsid w:val="00670034"/>
    <w:rsid w:val="00674983"/>
    <w:rsid w:val="00675BCB"/>
    <w:rsid w:val="006802D5"/>
    <w:rsid w:val="00683378"/>
    <w:rsid w:val="00683881"/>
    <w:rsid w:val="00683E71"/>
    <w:rsid w:val="00686476"/>
    <w:rsid w:val="00686C2F"/>
    <w:rsid w:val="00686F7F"/>
    <w:rsid w:val="006870ED"/>
    <w:rsid w:val="006A3357"/>
    <w:rsid w:val="006A51CB"/>
    <w:rsid w:val="006A53C1"/>
    <w:rsid w:val="006A67F9"/>
    <w:rsid w:val="006A7339"/>
    <w:rsid w:val="006B1A99"/>
    <w:rsid w:val="006B20DA"/>
    <w:rsid w:val="006B2AA3"/>
    <w:rsid w:val="006B3DB2"/>
    <w:rsid w:val="006B4083"/>
    <w:rsid w:val="006B6BC5"/>
    <w:rsid w:val="006B7C08"/>
    <w:rsid w:val="006C0E8A"/>
    <w:rsid w:val="006C50EC"/>
    <w:rsid w:val="006C798E"/>
    <w:rsid w:val="006D0637"/>
    <w:rsid w:val="006D0F9D"/>
    <w:rsid w:val="006D1877"/>
    <w:rsid w:val="006D2E89"/>
    <w:rsid w:val="006D44B5"/>
    <w:rsid w:val="006E0458"/>
    <w:rsid w:val="006E135C"/>
    <w:rsid w:val="006E1F57"/>
    <w:rsid w:val="006E3C92"/>
    <w:rsid w:val="006F010A"/>
    <w:rsid w:val="006F0BF3"/>
    <w:rsid w:val="006F6C6B"/>
    <w:rsid w:val="0070092E"/>
    <w:rsid w:val="00702595"/>
    <w:rsid w:val="00702F3A"/>
    <w:rsid w:val="0070562F"/>
    <w:rsid w:val="00705AE8"/>
    <w:rsid w:val="00705AED"/>
    <w:rsid w:val="00710D2B"/>
    <w:rsid w:val="0071229B"/>
    <w:rsid w:val="00715CD6"/>
    <w:rsid w:val="00715E56"/>
    <w:rsid w:val="0071709B"/>
    <w:rsid w:val="007237A2"/>
    <w:rsid w:val="00735BA4"/>
    <w:rsid w:val="007376A0"/>
    <w:rsid w:val="007377D6"/>
    <w:rsid w:val="0073794C"/>
    <w:rsid w:val="0074159D"/>
    <w:rsid w:val="00747F3E"/>
    <w:rsid w:val="00755283"/>
    <w:rsid w:val="00756EBD"/>
    <w:rsid w:val="00757824"/>
    <w:rsid w:val="00760A3E"/>
    <w:rsid w:val="007641E1"/>
    <w:rsid w:val="00764DD7"/>
    <w:rsid w:val="00765408"/>
    <w:rsid w:val="00765FA8"/>
    <w:rsid w:val="007665A1"/>
    <w:rsid w:val="0076670C"/>
    <w:rsid w:val="00767655"/>
    <w:rsid w:val="0077174C"/>
    <w:rsid w:val="007729CF"/>
    <w:rsid w:val="00772A32"/>
    <w:rsid w:val="00776997"/>
    <w:rsid w:val="007771F1"/>
    <w:rsid w:val="0077789E"/>
    <w:rsid w:val="007800FF"/>
    <w:rsid w:val="00780B44"/>
    <w:rsid w:val="007863C9"/>
    <w:rsid w:val="0078689B"/>
    <w:rsid w:val="00787F94"/>
    <w:rsid w:val="007930F7"/>
    <w:rsid w:val="007931B7"/>
    <w:rsid w:val="0079451E"/>
    <w:rsid w:val="007951F5"/>
    <w:rsid w:val="00797E96"/>
    <w:rsid w:val="007A1253"/>
    <w:rsid w:val="007A2790"/>
    <w:rsid w:val="007A5B56"/>
    <w:rsid w:val="007A6401"/>
    <w:rsid w:val="007A7553"/>
    <w:rsid w:val="007B11F3"/>
    <w:rsid w:val="007B2D22"/>
    <w:rsid w:val="007B319E"/>
    <w:rsid w:val="007B5E8F"/>
    <w:rsid w:val="007B73F7"/>
    <w:rsid w:val="007B7FE4"/>
    <w:rsid w:val="007C40CD"/>
    <w:rsid w:val="007C5ED4"/>
    <w:rsid w:val="007D1106"/>
    <w:rsid w:val="007D14C8"/>
    <w:rsid w:val="007D471D"/>
    <w:rsid w:val="007D4B17"/>
    <w:rsid w:val="007D4CF2"/>
    <w:rsid w:val="007D6889"/>
    <w:rsid w:val="007D7EBE"/>
    <w:rsid w:val="007E026C"/>
    <w:rsid w:val="007E412C"/>
    <w:rsid w:val="007E554B"/>
    <w:rsid w:val="007E682C"/>
    <w:rsid w:val="007E7EFE"/>
    <w:rsid w:val="007F10F6"/>
    <w:rsid w:val="007F4308"/>
    <w:rsid w:val="007F67EA"/>
    <w:rsid w:val="007F691E"/>
    <w:rsid w:val="007F766B"/>
    <w:rsid w:val="007F76A0"/>
    <w:rsid w:val="008015C0"/>
    <w:rsid w:val="008111CB"/>
    <w:rsid w:val="008142C3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561B4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81843"/>
    <w:rsid w:val="008824C2"/>
    <w:rsid w:val="00886617"/>
    <w:rsid w:val="00886B0B"/>
    <w:rsid w:val="00890F9E"/>
    <w:rsid w:val="00892306"/>
    <w:rsid w:val="00895A74"/>
    <w:rsid w:val="00897E35"/>
    <w:rsid w:val="008A0158"/>
    <w:rsid w:val="008A33D2"/>
    <w:rsid w:val="008A34D7"/>
    <w:rsid w:val="008A55AB"/>
    <w:rsid w:val="008A7201"/>
    <w:rsid w:val="008B11AF"/>
    <w:rsid w:val="008B45D2"/>
    <w:rsid w:val="008C2239"/>
    <w:rsid w:val="008C3E79"/>
    <w:rsid w:val="008C4665"/>
    <w:rsid w:val="008C65AA"/>
    <w:rsid w:val="008D0A85"/>
    <w:rsid w:val="008D37CE"/>
    <w:rsid w:val="008D5198"/>
    <w:rsid w:val="008D5F27"/>
    <w:rsid w:val="008D6016"/>
    <w:rsid w:val="008E3F85"/>
    <w:rsid w:val="008E4B38"/>
    <w:rsid w:val="008F0E04"/>
    <w:rsid w:val="008F7B3E"/>
    <w:rsid w:val="009032C6"/>
    <w:rsid w:val="00907F43"/>
    <w:rsid w:val="00910925"/>
    <w:rsid w:val="0091145D"/>
    <w:rsid w:val="0091152E"/>
    <w:rsid w:val="00911BA9"/>
    <w:rsid w:val="00911D4A"/>
    <w:rsid w:val="009171A7"/>
    <w:rsid w:val="00923023"/>
    <w:rsid w:val="009248B9"/>
    <w:rsid w:val="00925476"/>
    <w:rsid w:val="00926FC0"/>
    <w:rsid w:val="00927B0E"/>
    <w:rsid w:val="00931DF9"/>
    <w:rsid w:val="00932F5E"/>
    <w:rsid w:val="0093346F"/>
    <w:rsid w:val="009350B1"/>
    <w:rsid w:val="00935460"/>
    <w:rsid w:val="00937FE1"/>
    <w:rsid w:val="00944033"/>
    <w:rsid w:val="00944F16"/>
    <w:rsid w:val="009450B4"/>
    <w:rsid w:val="00950E4D"/>
    <w:rsid w:val="009562F8"/>
    <w:rsid w:val="00956DFF"/>
    <w:rsid w:val="00960679"/>
    <w:rsid w:val="00964376"/>
    <w:rsid w:val="00965E40"/>
    <w:rsid w:val="00967A39"/>
    <w:rsid w:val="0097179A"/>
    <w:rsid w:val="00974185"/>
    <w:rsid w:val="009759B4"/>
    <w:rsid w:val="009773EF"/>
    <w:rsid w:val="00977836"/>
    <w:rsid w:val="009806AD"/>
    <w:rsid w:val="00982AE8"/>
    <w:rsid w:val="009876EC"/>
    <w:rsid w:val="00987EDD"/>
    <w:rsid w:val="009A1693"/>
    <w:rsid w:val="009A31C8"/>
    <w:rsid w:val="009A3CBB"/>
    <w:rsid w:val="009B19C7"/>
    <w:rsid w:val="009B1F71"/>
    <w:rsid w:val="009B4AC7"/>
    <w:rsid w:val="009B4AE2"/>
    <w:rsid w:val="009B5FD4"/>
    <w:rsid w:val="009B6D4B"/>
    <w:rsid w:val="009C127F"/>
    <w:rsid w:val="009C13DF"/>
    <w:rsid w:val="009C22C6"/>
    <w:rsid w:val="009C2A0F"/>
    <w:rsid w:val="009C6733"/>
    <w:rsid w:val="009D68ED"/>
    <w:rsid w:val="009D7149"/>
    <w:rsid w:val="009D72E7"/>
    <w:rsid w:val="009D7BF4"/>
    <w:rsid w:val="009E1D49"/>
    <w:rsid w:val="009E217C"/>
    <w:rsid w:val="009E7110"/>
    <w:rsid w:val="009E7401"/>
    <w:rsid w:val="009F09FA"/>
    <w:rsid w:val="009F16FB"/>
    <w:rsid w:val="009F75C1"/>
    <w:rsid w:val="00A02908"/>
    <w:rsid w:val="00A03244"/>
    <w:rsid w:val="00A0608F"/>
    <w:rsid w:val="00A1059A"/>
    <w:rsid w:val="00A10606"/>
    <w:rsid w:val="00A10D67"/>
    <w:rsid w:val="00A11D0A"/>
    <w:rsid w:val="00A129D7"/>
    <w:rsid w:val="00A13EF7"/>
    <w:rsid w:val="00A15485"/>
    <w:rsid w:val="00A16CAA"/>
    <w:rsid w:val="00A21DED"/>
    <w:rsid w:val="00A24606"/>
    <w:rsid w:val="00A2563A"/>
    <w:rsid w:val="00A26428"/>
    <w:rsid w:val="00A316EF"/>
    <w:rsid w:val="00A33C1E"/>
    <w:rsid w:val="00A34F6B"/>
    <w:rsid w:val="00A37BD5"/>
    <w:rsid w:val="00A42158"/>
    <w:rsid w:val="00A425FD"/>
    <w:rsid w:val="00A43C5C"/>
    <w:rsid w:val="00A446AF"/>
    <w:rsid w:val="00A45668"/>
    <w:rsid w:val="00A47F74"/>
    <w:rsid w:val="00A5206A"/>
    <w:rsid w:val="00A5208D"/>
    <w:rsid w:val="00A53B5B"/>
    <w:rsid w:val="00A54387"/>
    <w:rsid w:val="00A572B4"/>
    <w:rsid w:val="00A63043"/>
    <w:rsid w:val="00A642DC"/>
    <w:rsid w:val="00A65412"/>
    <w:rsid w:val="00A66051"/>
    <w:rsid w:val="00A673EA"/>
    <w:rsid w:val="00A7290B"/>
    <w:rsid w:val="00A738BD"/>
    <w:rsid w:val="00A81AAA"/>
    <w:rsid w:val="00A832E0"/>
    <w:rsid w:val="00A8596C"/>
    <w:rsid w:val="00A862F2"/>
    <w:rsid w:val="00A879BE"/>
    <w:rsid w:val="00A92224"/>
    <w:rsid w:val="00A93077"/>
    <w:rsid w:val="00AA1F3F"/>
    <w:rsid w:val="00AA1FD5"/>
    <w:rsid w:val="00AA5378"/>
    <w:rsid w:val="00AA64BD"/>
    <w:rsid w:val="00AB07A4"/>
    <w:rsid w:val="00AB4B30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AF71B5"/>
    <w:rsid w:val="00B02BCB"/>
    <w:rsid w:val="00B1211F"/>
    <w:rsid w:val="00B12A21"/>
    <w:rsid w:val="00B1641C"/>
    <w:rsid w:val="00B166EB"/>
    <w:rsid w:val="00B21887"/>
    <w:rsid w:val="00B25628"/>
    <w:rsid w:val="00B26098"/>
    <w:rsid w:val="00B26707"/>
    <w:rsid w:val="00B26BBB"/>
    <w:rsid w:val="00B2770E"/>
    <w:rsid w:val="00B31475"/>
    <w:rsid w:val="00B337F4"/>
    <w:rsid w:val="00B36465"/>
    <w:rsid w:val="00B41F7E"/>
    <w:rsid w:val="00B479A3"/>
    <w:rsid w:val="00B617BF"/>
    <w:rsid w:val="00B62983"/>
    <w:rsid w:val="00B73F2A"/>
    <w:rsid w:val="00B7707E"/>
    <w:rsid w:val="00B86427"/>
    <w:rsid w:val="00B8744C"/>
    <w:rsid w:val="00BA304E"/>
    <w:rsid w:val="00BA7029"/>
    <w:rsid w:val="00BA743A"/>
    <w:rsid w:val="00BB3B24"/>
    <w:rsid w:val="00BB4041"/>
    <w:rsid w:val="00BB502B"/>
    <w:rsid w:val="00BB541B"/>
    <w:rsid w:val="00BB605A"/>
    <w:rsid w:val="00BB69C9"/>
    <w:rsid w:val="00BB6C0C"/>
    <w:rsid w:val="00BC166F"/>
    <w:rsid w:val="00BC1B9F"/>
    <w:rsid w:val="00BC2834"/>
    <w:rsid w:val="00BC66AF"/>
    <w:rsid w:val="00BC6EFE"/>
    <w:rsid w:val="00BC7278"/>
    <w:rsid w:val="00BD32CE"/>
    <w:rsid w:val="00BE0FD4"/>
    <w:rsid w:val="00BE22C7"/>
    <w:rsid w:val="00BF1D9D"/>
    <w:rsid w:val="00BF2734"/>
    <w:rsid w:val="00BF2C9B"/>
    <w:rsid w:val="00BF4532"/>
    <w:rsid w:val="00BF52E9"/>
    <w:rsid w:val="00BF55A9"/>
    <w:rsid w:val="00BF7846"/>
    <w:rsid w:val="00C01DF8"/>
    <w:rsid w:val="00C02823"/>
    <w:rsid w:val="00C051CC"/>
    <w:rsid w:val="00C058C1"/>
    <w:rsid w:val="00C06050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674"/>
    <w:rsid w:val="00C177B3"/>
    <w:rsid w:val="00C203DC"/>
    <w:rsid w:val="00C2072B"/>
    <w:rsid w:val="00C20E44"/>
    <w:rsid w:val="00C22948"/>
    <w:rsid w:val="00C23812"/>
    <w:rsid w:val="00C243E5"/>
    <w:rsid w:val="00C25CB1"/>
    <w:rsid w:val="00C26B48"/>
    <w:rsid w:val="00C31B53"/>
    <w:rsid w:val="00C31DBC"/>
    <w:rsid w:val="00C32880"/>
    <w:rsid w:val="00C36249"/>
    <w:rsid w:val="00C37D84"/>
    <w:rsid w:val="00C42C4C"/>
    <w:rsid w:val="00C45A4D"/>
    <w:rsid w:val="00C4659A"/>
    <w:rsid w:val="00C478A5"/>
    <w:rsid w:val="00C50E7B"/>
    <w:rsid w:val="00C5143E"/>
    <w:rsid w:val="00C5478E"/>
    <w:rsid w:val="00C5576F"/>
    <w:rsid w:val="00C56421"/>
    <w:rsid w:val="00C56DA1"/>
    <w:rsid w:val="00C574C2"/>
    <w:rsid w:val="00C61916"/>
    <w:rsid w:val="00C62C8A"/>
    <w:rsid w:val="00C6362B"/>
    <w:rsid w:val="00C648AB"/>
    <w:rsid w:val="00C66333"/>
    <w:rsid w:val="00C6755C"/>
    <w:rsid w:val="00C72391"/>
    <w:rsid w:val="00C75ADD"/>
    <w:rsid w:val="00C7695E"/>
    <w:rsid w:val="00C7743D"/>
    <w:rsid w:val="00C80052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B096F"/>
    <w:rsid w:val="00CB0BC4"/>
    <w:rsid w:val="00CB1AA8"/>
    <w:rsid w:val="00CB7F3A"/>
    <w:rsid w:val="00CC0E03"/>
    <w:rsid w:val="00CC1061"/>
    <w:rsid w:val="00CC18DE"/>
    <w:rsid w:val="00CC753B"/>
    <w:rsid w:val="00CD08D3"/>
    <w:rsid w:val="00CD2191"/>
    <w:rsid w:val="00CD35C2"/>
    <w:rsid w:val="00CD44FF"/>
    <w:rsid w:val="00CD5B66"/>
    <w:rsid w:val="00CE013E"/>
    <w:rsid w:val="00CE25F9"/>
    <w:rsid w:val="00CE6F3E"/>
    <w:rsid w:val="00CE7CBB"/>
    <w:rsid w:val="00CE7D04"/>
    <w:rsid w:val="00CF14A4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516F"/>
    <w:rsid w:val="00D17965"/>
    <w:rsid w:val="00D25EF0"/>
    <w:rsid w:val="00D26524"/>
    <w:rsid w:val="00D301DE"/>
    <w:rsid w:val="00D311E2"/>
    <w:rsid w:val="00D32F87"/>
    <w:rsid w:val="00D35572"/>
    <w:rsid w:val="00D35886"/>
    <w:rsid w:val="00D366A3"/>
    <w:rsid w:val="00D369F8"/>
    <w:rsid w:val="00D41159"/>
    <w:rsid w:val="00D42406"/>
    <w:rsid w:val="00D42AE9"/>
    <w:rsid w:val="00D42DFF"/>
    <w:rsid w:val="00D50DD0"/>
    <w:rsid w:val="00D52451"/>
    <w:rsid w:val="00D5393D"/>
    <w:rsid w:val="00D543CA"/>
    <w:rsid w:val="00D561D6"/>
    <w:rsid w:val="00D605A6"/>
    <w:rsid w:val="00D60ECD"/>
    <w:rsid w:val="00D63133"/>
    <w:rsid w:val="00D64566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688F"/>
    <w:rsid w:val="00DA72B5"/>
    <w:rsid w:val="00DB2811"/>
    <w:rsid w:val="00DB74AA"/>
    <w:rsid w:val="00DC47EC"/>
    <w:rsid w:val="00DC7751"/>
    <w:rsid w:val="00DD2C12"/>
    <w:rsid w:val="00DD3069"/>
    <w:rsid w:val="00DD44F2"/>
    <w:rsid w:val="00DD50FB"/>
    <w:rsid w:val="00DD5255"/>
    <w:rsid w:val="00DD65C2"/>
    <w:rsid w:val="00DE0E00"/>
    <w:rsid w:val="00DE4D06"/>
    <w:rsid w:val="00DE5BD0"/>
    <w:rsid w:val="00DF1347"/>
    <w:rsid w:val="00DF14C1"/>
    <w:rsid w:val="00DF45D8"/>
    <w:rsid w:val="00DF4CC9"/>
    <w:rsid w:val="00DF69EC"/>
    <w:rsid w:val="00E0060C"/>
    <w:rsid w:val="00E022B7"/>
    <w:rsid w:val="00E02633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69C6"/>
    <w:rsid w:val="00E30345"/>
    <w:rsid w:val="00E32162"/>
    <w:rsid w:val="00E32C6E"/>
    <w:rsid w:val="00E346AB"/>
    <w:rsid w:val="00E35531"/>
    <w:rsid w:val="00E423BA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57A4F"/>
    <w:rsid w:val="00E6122C"/>
    <w:rsid w:val="00E61E05"/>
    <w:rsid w:val="00E662BA"/>
    <w:rsid w:val="00E66EE7"/>
    <w:rsid w:val="00E722AA"/>
    <w:rsid w:val="00E9234B"/>
    <w:rsid w:val="00E927CF"/>
    <w:rsid w:val="00E93539"/>
    <w:rsid w:val="00E962EA"/>
    <w:rsid w:val="00E9756E"/>
    <w:rsid w:val="00EA27B1"/>
    <w:rsid w:val="00EA465B"/>
    <w:rsid w:val="00EA53DE"/>
    <w:rsid w:val="00EB0F53"/>
    <w:rsid w:val="00EB169D"/>
    <w:rsid w:val="00EB2171"/>
    <w:rsid w:val="00EB22A4"/>
    <w:rsid w:val="00EB3476"/>
    <w:rsid w:val="00EB4418"/>
    <w:rsid w:val="00EB5B61"/>
    <w:rsid w:val="00EB6C79"/>
    <w:rsid w:val="00EB7508"/>
    <w:rsid w:val="00ED228E"/>
    <w:rsid w:val="00ED2754"/>
    <w:rsid w:val="00ED5127"/>
    <w:rsid w:val="00EE13B8"/>
    <w:rsid w:val="00EE2B5D"/>
    <w:rsid w:val="00EE2EA5"/>
    <w:rsid w:val="00EE3C44"/>
    <w:rsid w:val="00EE5668"/>
    <w:rsid w:val="00EF17E9"/>
    <w:rsid w:val="00EF3705"/>
    <w:rsid w:val="00F0113F"/>
    <w:rsid w:val="00F01A0F"/>
    <w:rsid w:val="00F01C95"/>
    <w:rsid w:val="00F01E02"/>
    <w:rsid w:val="00F031EC"/>
    <w:rsid w:val="00F03466"/>
    <w:rsid w:val="00F03BAF"/>
    <w:rsid w:val="00F04997"/>
    <w:rsid w:val="00F0641C"/>
    <w:rsid w:val="00F06F9A"/>
    <w:rsid w:val="00F110CD"/>
    <w:rsid w:val="00F14C20"/>
    <w:rsid w:val="00F16EAB"/>
    <w:rsid w:val="00F2156B"/>
    <w:rsid w:val="00F23F51"/>
    <w:rsid w:val="00F24F37"/>
    <w:rsid w:val="00F256AF"/>
    <w:rsid w:val="00F27C0A"/>
    <w:rsid w:val="00F3135D"/>
    <w:rsid w:val="00F3157C"/>
    <w:rsid w:val="00F315E7"/>
    <w:rsid w:val="00F32D9C"/>
    <w:rsid w:val="00F3411C"/>
    <w:rsid w:val="00F40044"/>
    <w:rsid w:val="00F45E15"/>
    <w:rsid w:val="00F52375"/>
    <w:rsid w:val="00F53B12"/>
    <w:rsid w:val="00F569A6"/>
    <w:rsid w:val="00F60D6B"/>
    <w:rsid w:val="00F61C74"/>
    <w:rsid w:val="00F6386D"/>
    <w:rsid w:val="00F640C5"/>
    <w:rsid w:val="00F64C2F"/>
    <w:rsid w:val="00F6589D"/>
    <w:rsid w:val="00F66011"/>
    <w:rsid w:val="00F67215"/>
    <w:rsid w:val="00F67A0C"/>
    <w:rsid w:val="00F75349"/>
    <w:rsid w:val="00F75D9E"/>
    <w:rsid w:val="00F7721C"/>
    <w:rsid w:val="00F77AFF"/>
    <w:rsid w:val="00F807D8"/>
    <w:rsid w:val="00F90F6F"/>
    <w:rsid w:val="00F914AB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785E"/>
    <w:rsid w:val="00FD24CB"/>
    <w:rsid w:val="00FD2C4E"/>
    <w:rsid w:val="00FD3F70"/>
    <w:rsid w:val="00FD5314"/>
    <w:rsid w:val="00FD6AB9"/>
    <w:rsid w:val="00FE0428"/>
    <w:rsid w:val="00FE07C9"/>
    <w:rsid w:val="00FE496E"/>
    <w:rsid w:val="00FE6CAE"/>
    <w:rsid w:val="00FF00A7"/>
    <w:rsid w:val="00FF0563"/>
    <w:rsid w:val="00FF3157"/>
    <w:rsid w:val="00FF3D1D"/>
    <w:rsid w:val="00FF418F"/>
    <w:rsid w:val="00FF41D4"/>
    <w:rsid w:val="00FF4380"/>
    <w:rsid w:val="00FF58AB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BB537C8C-60A1-4CE6-8552-0FA74553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789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5</cp:revision>
  <dcterms:created xsi:type="dcterms:W3CDTF">2024-06-24T13:43:00Z</dcterms:created>
  <dcterms:modified xsi:type="dcterms:W3CDTF">2024-06-25T06:52:00Z</dcterms:modified>
</cp:coreProperties>
</file>