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6A04D" w14:textId="7F5FE9E0" w:rsidR="00931DF9" w:rsidRDefault="00DF14C1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33229676"/>
      <w:r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25C385FD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Default="00931DF9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1099C1C3" w14:textId="5A9A415D" w:rsidR="00EA27B1" w:rsidRPr="004006E0" w:rsidRDefault="00EA27B1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Informacja prasowa: </w:t>
      </w:r>
      <w:r w:rsidR="00866B63">
        <w:rPr>
          <w:rFonts w:ascii="Arial" w:hAnsi="Arial" w:cs="Arial"/>
          <w:color w:val="000000"/>
          <w:sz w:val="16"/>
          <w:szCs w:val="16"/>
        </w:rPr>
        <w:t>11</w:t>
      </w:r>
      <w:r w:rsidR="00991092">
        <w:rPr>
          <w:rFonts w:ascii="Arial" w:hAnsi="Arial" w:cs="Arial"/>
          <w:color w:val="000000"/>
          <w:sz w:val="16"/>
          <w:szCs w:val="16"/>
        </w:rPr>
        <w:t>-01-2024</w:t>
      </w:r>
      <w:r w:rsidRPr="004006E0">
        <w:rPr>
          <w:rFonts w:ascii="Arial" w:hAnsi="Arial" w:cs="Arial"/>
          <w:color w:val="000000"/>
          <w:sz w:val="16"/>
          <w:szCs w:val="16"/>
        </w:rPr>
        <w:t xml:space="preserve">,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Warszawa</w:t>
      </w:r>
    </w:p>
    <w:p w14:paraId="75AB01AC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 xml:space="preserve">Biuro Prasowe </w:t>
      </w:r>
      <w:r w:rsidR="004564A2" w:rsidRPr="004006E0">
        <w:rPr>
          <w:rFonts w:ascii="Arial" w:hAnsi="Arial" w:cs="Arial"/>
          <w:color w:val="000000"/>
          <w:sz w:val="16"/>
          <w:szCs w:val="16"/>
        </w:rPr>
        <w:t>Greenman Poland</w:t>
      </w:r>
    </w:p>
    <w:p w14:paraId="3C6C074A" w14:textId="77777777" w:rsidR="0079451E" w:rsidRPr="004006E0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4006E0">
        <w:rPr>
          <w:rFonts w:ascii="Arial" w:hAnsi="Arial" w:cs="Arial"/>
          <w:color w:val="000000"/>
          <w:sz w:val="16"/>
          <w:szCs w:val="16"/>
        </w:rPr>
        <w:t>Tomasz Pietrzak/Guarana PR</w:t>
      </w:r>
    </w:p>
    <w:p w14:paraId="176079A0" w14:textId="77777777" w:rsidR="0079451E" w:rsidRPr="00023DEC" w:rsidRDefault="0079451E" w:rsidP="0079451E">
      <w:pPr>
        <w:pStyle w:val="Bezodstpw"/>
        <w:jc w:val="both"/>
        <w:rPr>
          <w:rFonts w:ascii="Arial" w:hAnsi="Arial" w:cs="Arial"/>
          <w:color w:val="000000"/>
          <w:sz w:val="16"/>
          <w:szCs w:val="16"/>
        </w:rPr>
      </w:pPr>
      <w:r w:rsidRPr="00023DEC">
        <w:rPr>
          <w:rFonts w:ascii="Arial" w:hAnsi="Arial" w:cs="Arial"/>
          <w:color w:val="000000"/>
          <w:sz w:val="16"/>
          <w:szCs w:val="16"/>
        </w:rPr>
        <w:t xml:space="preserve">tel. 509 106 256 mail. </w:t>
      </w:r>
      <w:r w:rsidR="00931DF9" w:rsidRPr="00023DEC">
        <w:rPr>
          <w:rFonts w:ascii="Arial" w:hAnsi="Arial" w:cs="Arial"/>
          <w:color w:val="000000"/>
          <w:sz w:val="16"/>
          <w:szCs w:val="16"/>
        </w:rPr>
        <w:t>t</w:t>
      </w:r>
      <w:r w:rsidR="004B46C7" w:rsidRPr="00023DEC">
        <w:rPr>
          <w:rFonts w:ascii="Arial" w:hAnsi="Arial" w:cs="Arial"/>
          <w:color w:val="000000"/>
          <w:sz w:val="16"/>
          <w:szCs w:val="16"/>
        </w:rPr>
        <w:t>omasz.pietrzak[at]guaranapr.pl</w:t>
      </w:r>
    </w:p>
    <w:p w14:paraId="6B26BD7F" w14:textId="77777777" w:rsidR="004564A2" w:rsidRPr="00023DEC" w:rsidRDefault="004564A2" w:rsidP="0079451E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840B130" w14:textId="77777777" w:rsidR="004006E0" w:rsidRPr="00023DEC" w:rsidRDefault="004006E0" w:rsidP="004006E0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6F91F514" w14:textId="1DE79F12" w:rsidR="00FA78C6" w:rsidRPr="00FA78C6" w:rsidRDefault="00FA78C6" w:rsidP="00FA78C6">
      <w:pPr>
        <w:pStyle w:val="Bezodstpw"/>
        <w:jc w:val="center"/>
        <w:rPr>
          <w:rFonts w:ascii="Arial" w:hAnsi="Arial" w:cs="Arial"/>
          <w:b/>
          <w:bCs/>
        </w:rPr>
      </w:pPr>
      <w:r w:rsidRPr="00FA78C6">
        <w:rPr>
          <w:rFonts w:ascii="Arial" w:hAnsi="Arial" w:cs="Arial"/>
          <w:b/>
          <w:bCs/>
        </w:rPr>
        <w:t>CCC i Deichmann zostają na kolejne lata w retail parkach Greenman Poland</w:t>
      </w:r>
    </w:p>
    <w:p w14:paraId="718B83A8" w14:textId="77777777" w:rsidR="00FA78C6" w:rsidRDefault="00FA78C6" w:rsidP="00FA78C6">
      <w:pPr>
        <w:pStyle w:val="Bezodstpw"/>
        <w:rPr>
          <w:rFonts w:ascii="Arial" w:hAnsi="Arial" w:cs="Arial"/>
          <w:sz w:val="20"/>
          <w:szCs w:val="20"/>
        </w:rPr>
      </w:pPr>
    </w:p>
    <w:p w14:paraId="01C9D2D4" w14:textId="77777777" w:rsidR="00FA78C6" w:rsidRPr="00FA78C6" w:rsidRDefault="00FA78C6" w:rsidP="00FA78C6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84C4898" w14:textId="7925E4E0" w:rsidR="00FA78C6" w:rsidRPr="00760324" w:rsidRDefault="00FA78C6" w:rsidP="00FA78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60324">
        <w:rPr>
          <w:rFonts w:ascii="Arial" w:hAnsi="Arial" w:cs="Arial"/>
          <w:b/>
          <w:bCs/>
          <w:sz w:val="20"/>
          <w:szCs w:val="20"/>
        </w:rPr>
        <w:t xml:space="preserve">Duże sieci </w:t>
      </w:r>
      <w:r w:rsidR="00970F5E" w:rsidRPr="00760324">
        <w:rPr>
          <w:rFonts w:ascii="Arial" w:hAnsi="Arial" w:cs="Arial"/>
          <w:b/>
          <w:bCs/>
          <w:sz w:val="20"/>
          <w:szCs w:val="20"/>
        </w:rPr>
        <w:t>sklepów z obuwiem i dodatkami</w:t>
      </w:r>
      <w:r w:rsidRPr="00760324">
        <w:rPr>
          <w:rFonts w:ascii="Arial" w:hAnsi="Arial" w:cs="Arial"/>
          <w:b/>
          <w:bCs/>
          <w:sz w:val="20"/>
          <w:szCs w:val="20"/>
        </w:rPr>
        <w:t xml:space="preserve"> będą nadal inwestować w najem w parkach handlowych Greenman Poland. Dział leasingu przedłużył właśnie na kolejne lata umowy z kluczowymi dla ich oferty najemcami i to w trzech obiektach należących do portfolio </w:t>
      </w:r>
      <w:r w:rsidR="005905EA" w:rsidRPr="00760324">
        <w:rPr>
          <w:rFonts w:ascii="Arial" w:hAnsi="Arial" w:cs="Arial"/>
          <w:b/>
          <w:bCs/>
          <w:sz w:val="20"/>
          <w:szCs w:val="20"/>
        </w:rPr>
        <w:t>firmy</w:t>
      </w:r>
      <w:r w:rsidRPr="00760324">
        <w:rPr>
          <w:rFonts w:ascii="Arial" w:hAnsi="Arial" w:cs="Arial"/>
          <w:b/>
          <w:bCs/>
          <w:sz w:val="20"/>
          <w:szCs w:val="20"/>
        </w:rPr>
        <w:t>.</w:t>
      </w:r>
    </w:p>
    <w:p w14:paraId="3C0CC965" w14:textId="77777777" w:rsidR="000F39A4" w:rsidRPr="00760324" w:rsidRDefault="000F39A4" w:rsidP="00FA78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BEAC60E" w14:textId="12D5DAF4" w:rsidR="000F39A4" w:rsidRPr="00760324" w:rsidRDefault="000F39A4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60324">
        <w:rPr>
          <w:rFonts w:ascii="Arial" w:hAnsi="Arial" w:cs="Arial"/>
          <w:sz w:val="20"/>
          <w:szCs w:val="20"/>
        </w:rPr>
        <w:t>W efekcie prac w ofercie Parku Handlowego w Namysłowie oraz Parku Handlowego w Grodzisku Mazowieckim klienci nadal będą mogli znaleźć cieszące się popularnością sklepy marki CCC. W przypadku tego ostatniego obiektu podpisany aneks zakłada także przeprowadzenie jeszcze w tym roku remontu w zajmowanym lokalu i – co ważne dla atrakcyjności oferty retail parku – wprowadzenie nowego konceptu handlowego sieci</w:t>
      </w:r>
      <w:r w:rsidR="00760324" w:rsidRPr="00760324">
        <w:rPr>
          <w:rFonts w:ascii="Arial" w:hAnsi="Arial" w:cs="Arial"/>
          <w:sz w:val="20"/>
          <w:szCs w:val="20"/>
        </w:rPr>
        <w:t>, który pojawi się już wiosną</w:t>
      </w:r>
      <w:r w:rsidRPr="00760324">
        <w:rPr>
          <w:rFonts w:ascii="Arial" w:hAnsi="Arial" w:cs="Arial"/>
          <w:sz w:val="20"/>
          <w:szCs w:val="20"/>
        </w:rPr>
        <w:t xml:space="preserve">. To jednak nie koniec. </w:t>
      </w:r>
      <w:r w:rsidR="00F406CA" w:rsidRPr="00760324">
        <w:rPr>
          <w:rFonts w:ascii="Arial" w:hAnsi="Arial" w:cs="Arial"/>
          <w:sz w:val="20"/>
          <w:szCs w:val="20"/>
        </w:rPr>
        <w:t xml:space="preserve">Swoją ofertę </w:t>
      </w:r>
      <w:r w:rsidRPr="00760324">
        <w:rPr>
          <w:rFonts w:ascii="Arial" w:hAnsi="Arial" w:cs="Arial"/>
          <w:sz w:val="20"/>
          <w:szCs w:val="20"/>
        </w:rPr>
        <w:t xml:space="preserve">umocnił także Park Handlowy we Włocławku. Umowę z obiektem na kolejne lata przedłużyła międzynarodowa sieć Deichmann – informuje Greenman Poland. </w:t>
      </w:r>
    </w:p>
    <w:p w14:paraId="00E7DD14" w14:textId="77777777" w:rsidR="00FA78C6" w:rsidRPr="00760324" w:rsidRDefault="00FA78C6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4C20DE" w14:textId="5F501A82" w:rsidR="000F39A4" w:rsidRPr="00760324" w:rsidRDefault="00FA78C6" w:rsidP="00FA78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760324">
        <w:rPr>
          <w:rFonts w:ascii="Arial" w:hAnsi="Arial" w:cs="Arial"/>
          <w:sz w:val="20"/>
          <w:szCs w:val="20"/>
        </w:rPr>
        <w:t xml:space="preserve">– Ostatnio podpisane aneksy pokazują nie tylko, jak silną rynkową pozycję mają nasze parki handlowe, ale także jak duży potencjał </w:t>
      </w:r>
      <w:r w:rsidR="00D132D2" w:rsidRPr="00760324">
        <w:rPr>
          <w:rFonts w:ascii="Arial" w:hAnsi="Arial" w:cs="Arial"/>
          <w:sz w:val="20"/>
          <w:szCs w:val="20"/>
        </w:rPr>
        <w:t xml:space="preserve">jest </w:t>
      </w:r>
      <w:r w:rsidRPr="00760324">
        <w:rPr>
          <w:rFonts w:ascii="Arial" w:hAnsi="Arial" w:cs="Arial"/>
          <w:sz w:val="20"/>
          <w:szCs w:val="20"/>
        </w:rPr>
        <w:t>w formacie convenience. CCC i Deichmann to nasi wieloletni partnerzy, którzy w swoim rozwoju stawiają dziś wyłącznie na najlepsze</w:t>
      </w:r>
      <w:r w:rsidR="00970F5E" w:rsidRPr="00760324">
        <w:rPr>
          <w:rFonts w:ascii="Arial" w:hAnsi="Arial" w:cs="Arial"/>
          <w:sz w:val="20"/>
          <w:szCs w:val="20"/>
        </w:rPr>
        <w:t xml:space="preserve"> biznesowo</w:t>
      </w:r>
      <w:r w:rsidRPr="00760324">
        <w:rPr>
          <w:rFonts w:ascii="Arial" w:hAnsi="Arial" w:cs="Arial"/>
          <w:sz w:val="20"/>
          <w:szCs w:val="20"/>
        </w:rPr>
        <w:t xml:space="preserve"> lokalizacje i to na chłonnych oraz atrakcyjnych rynkach konsumenckich – </w:t>
      </w:r>
      <w:r w:rsidRPr="00760324">
        <w:rPr>
          <w:rFonts w:ascii="Arial" w:hAnsi="Arial" w:cs="Arial"/>
          <w:b/>
          <w:bCs/>
          <w:sz w:val="20"/>
          <w:szCs w:val="20"/>
        </w:rPr>
        <w:t>mówi Justyna Sobczyńska, Asset Manager w Greenman Poland.</w:t>
      </w:r>
      <w:r w:rsidR="00453D5A" w:rsidRPr="00760324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4C20E2EA" w14:textId="77777777" w:rsidR="000F39A4" w:rsidRPr="00760324" w:rsidRDefault="000F39A4" w:rsidP="00FA78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34A79B2" w14:textId="4B95C7DA" w:rsidR="00FA78C6" w:rsidRPr="00453D5A" w:rsidRDefault="00FA78C6" w:rsidP="00FA78C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A78C6">
        <w:rPr>
          <w:rFonts w:ascii="Arial" w:hAnsi="Arial" w:cs="Arial"/>
          <w:sz w:val="20"/>
          <w:szCs w:val="20"/>
        </w:rPr>
        <w:t xml:space="preserve">– Fakt, że obaj liderzy w swoim segmencie przedłużyli umowy </w:t>
      </w:r>
      <w:r w:rsidR="000507DB">
        <w:rPr>
          <w:rFonts w:ascii="Arial" w:hAnsi="Arial" w:cs="Arial"/>
          <w:sz w:val="20"/>
          <w:szCs w:val="20"/>
        </w:rPr>
        <w:t>w naszych obiektach</w:t>
      </w:r>
      <w:r w:rsidR="00F3127F">
        <w:rPr>
          <w:rFonts w:ascii="Arial" w:hAnsi="Arial" w:cs="Arial"/>
          <w:sz w:val="20"/>
          <w:szCs w:val="20"/>
        </w:rPr>
        <w:t>,</w:t>
      </w:r>
      <w:r w:rsidRPr="00FA78C6">
        <w:rPr>
          <w:rFonts w:ascii="Arial" w:hAnsi="Arial" w:cs="Arial"/>
          <w:sz w:val="20"/>
          <w:szCs w:val="20"/>
        </w:rPr>
        <w:t xml:space="preserve"> pokazuje najlepiej, że parki handlowe</w:t>
      </w:r>
      <w:r>
        <w:rPr>
          <w:rFonts w:ascii="Arial" w:hAnsi="Arial" w:cs="Arial"/>
          <w:sz w:val="20"/>
          <w:szCs w:val="20"/>
        </w:rPr>
        <w:t xml:space="preserve"> Greenman Poland</w:t>
      </w:r>
      <w:r w:rsidRPr="00FA78C6">
        <w:rPr>
          <w:rFonts w:ascii="Arial" w:hAnsi="Arial" w:cs="Arial"/>
          <w:sz w:val="20"/>
          <w:szCs w:val="20"/>
        </w:rPr>
        <w:t xml:space="preserve"> cieszą się nie tylko zaufaniem dużych sieci segmentu fashion, ale postrzegane są</w:t>
      </w:r>
      <w:r w:rsidR="00970F5E">
        <w:rPr>
          <w:rFonts w:ascii="Arial" w:hAnsi="Arial" w:cs="Arial"/>
          <w:sz w:val="20"/>
          <w:szCs w:val="20"/>
        </w:rPr>
        <w:t xml:space="preserve"> także</w:t>
      </w:r>
      <w:r w:rsidRPr="00FA78C6">
        <w:rPr>
          <w:rFonts w:ascii="Arial" w:hAnsi="Arial" w:cs="Arial"/>
          <w:sz w:val="20"/>
          <w:szCs w:val="20"/>
        </w:rPr>
        <w:t xml:space="preserve"> jako obiekty spełniające wysokie oczekiwania </w:t>
      </w:r>
      <w:r>
        <w:rPr>
          <w:rFonts w:ascii="Arial" w:hAnsi="Arial" w:cs="Arial"/>
          <w:sz w:val="20"/>
          <w:szCs w:val="20"/>
        </w:rPr>
        <w:t>rynku</w:t>
      </w:r>
      <w:r w:rsidRPr="00FA78C6">
        <w:rPr>
          <w:rFonts w:ascii="Arial" w:hAnsi="Arial" w:cs="Arial"/>
          <w:sz w:val="20"/>
          <w:szCs w:val="20"/>
        </w:rPr>
        <w:t>, a do tego bardzo</w:t>
      </w:r>
      <w:r w:rsidR="00970F5E">
        <w:rPr>
          <w:rFonts w:ascii="Arial" w:hAnsi="Arial" w:cs="Arial"/>
          <w:sz w:val="20"/>
          <w:szCs w:val="20"/>
        </w:rPr>
        <w:t xml:space="preserve"> perspektywiczne i</w:t>
      </w:r>
      <w:r w:rsidRPr="00FA78C6">
        <w:rPr>
          <w:rFonts w:ascii="Arial" w:hAnsi="Arial" w:cs="Arial"/>
          <w:sz w:val="20"/>
          <w:szCs w:val="20"/>
        </w:rPr>
        <w:t xml:space="preserve"> rozwojowe, w które warto nadal inwestować – dodaje.</w:t>
      </w:r>
    </w:p>
    <w:p w14:paraId="4B2B6699" w14:textId="77777777" w:rsidR="00FA78C6" w:rsidRPr="00FA78C6" w:rsidRDefault="00FA78C6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35C563" w14:textId="7FC0E662" w:rsidR="000F39A4" w:rsidRDefault="00FA78C6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A78C6">
        <w:rPr>
          <w:rFonts w:ascii="Arial" w:hAnsi="Arial" w:cs="Arial"/>
          <w:sz w:val="20"/>
          <w:szCs w:val="20"/>
        </w:rPr>
        <w:t xml:space="preserve">Marki przekonują </w:t>
      </w:r>
      <w:r w:rsidR="00970F5E">
        <w:rPr>
          <w:rFonts w:ascii="Arial" w:hAnsi="Arial" w:cs="Arial"/>
          <w:sz w:val="20"/>
          <w:szCs w:val="20"/>
        </w:rPr>
        <w:t>również</w:t>
      </w:r>
      <w:r w:rsidRPr="00FA78C6">
        <w:rPr>
          <w:rFonts w:ascii="Arial" w:hAnsi="Arial" w:cs="Arial"/>
          <w:sz w:val="20"/>
          <w:szCs w:val="20"/>
        </w:rPr>
        <w:t xml:space="preserve"> inne argumenty</w:t>
      </w:r>
      <w:r w:rsidR="00970F5E">
        <w:rPr>
          <w:rFonts w:ascii="Arial" w:hAnsi="Arial" w:cs="Arial"/>
          <w:sz w:val="20"/>
          <w:szCs w:val="20"/>
        </w:rPr>
        <w:t>, na które zwracają uwagę przedstawiciele właściciela</w:t>
      </w:r>
      <w:r w:rsidRPr="00FA78C6">
        <w:rPr>
          <w:rFonts w:ascii="Arial" w:hAnsi="Arial" w:cs="Arial"/>
          <w:sz w:val="20"/>
          <w:szCs w:val="20"/>
        </w:rPr>
        <w:t>. Jednym z nich jest mocno profootfallowe otoczenie, jakie zapewnia Greenman Poland swoim najemcom</w:t>
      </w:r>
      <w:r w:rsidR="00970F5E">
        <w:rPr>
          <w:rFonts w:ascii="Arial" w:hAnsi="Arial" w:cs="Arial"/>
          <w:sz w:val="20"/>
          <w:szCs w:val="20"/>
        </w:rPr>
        <w:t xml:space="preserve">, a w którym można znaleźć dziś zarówno znane sieci m.in. </w:t>
      </w:r>
      <w:r w:rsidR="00866B63">
        <w:rPr>
          <w:rFonts w:ascii="Arial" w:hAnsi="Arial" w:cs="Arial"/>
          <w:sz w:val="20"/>
          <w:szCs w:val="20"/>
        </w:rPr>
        <w:t>EDLP</w:t>
      </w:r>
      <w:r w:rsidR="00970F5E">
        <w:rPr>
          <w:rFonts w:ascii="Arial" w:hAnsi="Arial" w:cs="Arial"/>
          <w:sz w:val="20"/>
          <w:szCs w:val="20"/>
        </w:rPr>
        <w:t>, spożywcze, RTV/AGD oraz fashion.</w:t>
      </w:r>
    </w:p>
    <w:p w14:paraId="5EC5C608" w14:textId="77777777" w:rsidR="000F39A4" w:rsidRDefault="000F39A4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BD725E" w14:textId="17E246E0" w:rsidR="00970F5E" w:rsidRDefault="00453D5A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A78C6" w:rsidRPr="00FA78C6">
        <w:rPr>
          <w:rFonts w:ascii="Arial" w:hAnsi="Arial" w:cs="Arial"/>
          <w:sz w:val="20"/>
          <w:szCs w:val="20"/>
        </w:rPr>
        <w:t xml:space="preserve">– W każdym z parków handlowych </w:t>
      </w:r>
      <w:r w:rsidR="00970F5E">
        <w:rPr>
          <w:rFonts w:ascii="Arial" w:hAnsi="Arial" w:cs="Arial"/>
          <w:sz w:val="20"/>
          <w:szCs w:val="20"/>
        </w:rPr>
        <w:t>obecne</w:t>
      </w:r>
      <w:r w:rsidR="00FA78C6" w:rsidRPr="00FA78C6">
        <w:rPr>
          <w:rFonts w:ascii="Arial" w:hAnsi="Arial" w:cs="Arial"/>
          <w:sz w:val="20"/>
          <w:szCs w:val="20"/>
        </w:rPr>
        <w:t xml:space="preserve"> </w:t>
      </w:r>
      <w:r w:rsidR="000507DB">
        <w:rPr>
          <w:rFonts w:ascii="Arial" w:hAnsi="Arial" w:cs="Arial"/>
          <w:sz w:val="20"/>
          <w:szCs w:val="20"/>
        </w:rPr>
        <w:t xml:space="preserve">są </w:t>
      </w:r>
      <w:r w:rsidR="00FA78C6" w:rsidRPr="00FA78C6">
        <w:rPr>
          <w:rFonts w:ascii="Arial" w:hAnsi="Arial" w:cs="Arial"/>
          <w:sz w:val="20"/>
          <w:szCs w:val="20"/>
        </w:rPr>
        <w:t>dziś wyłącznie doskonale znane brandy krajowe i zagraniczne, które generują ruch. Co więcej, oferty obiektów cechuje zróżnicowan</w:t>
      </w:r>
      <w:r w:rsidR="005F377E">
        <w:rPr>
          <w:rFonts w:ascii="Arial" w:hAnsi="Arial" w:cs="Arial"/>
          <w:sz w:val="20"/>
          <w:szCs w:val="20"/>
        </w:rPr>
        <w:t>y</w:t>
      </w:r>
      <w:r w:rsidR="00FA78C6" w:rsidRPr="00FA78C6">
        <w:rPr>
          <w:rFonts w:ascii="Arial" w:hAnsi="Arial" w:cs="Arial"/>
          <w:sz w:val="20"/>
          <w:szCs w:val="20"/>
        </w:rPr>
        <w:t xml:space="preserve"> i wielosegmentowy tenant-mix, co wyróżnia nas</w:t>
      </w:r>
      <w:r w:rsidR="00970F5E">
        <w:rPr>
          <w:rFonts w:ascii="Arial" w:hAnsi="Arial" w:cs="Arial"/>
          <w:sz w:val="20"/>
          <w:szCs w:val="20"/>
        </w:rPr>
        <w:t xml:space="preserve"> na rynku convenience</w:t>
      </w:r>
      <w:r w:rsidR="00FA78C6" w:rsidRPr="00FA78C6">
        <w:rPr>
          <w:rFonts w:ascii="Arial" w:hAnsi="Arial" w:cs="Arial"/>
          <w:sz w:val="20"/>
          <w:szCs w:val="20"/>
        </w:rPr>
        <w:t xml:space="preserve"> i czyni atrakcyjnymi</w:t>
      </w:r>
      <w:r w:rsidR="005340CC">
        <w:rPr>
          <w:rFonts w:ascii="Arial" w:hAnsi="Arial" w:cs="Arial"/>
          <w:sz w:val="20"/>
          <w:szCs w:val="20"/>
        </w:rPr>
        <w:t xml:space="preserve">. To </w:t>
      </w:r>
      <w:r w:rsidR="005F377E">
        <w:rPr>
          <w:rFonts w:ascii="Arial" w:hAnsi="Arial" w:cs="Arial"/>
          <w:sz w:val="20"/>
          <w:szCs w:val="20"/>
        </w:rPr>
        <w:t>element</w:t>
      </w:r>
      <w:r w:rsidR="005340CC">
        <w:rPr>
          <w:rFonts w:ascii="Arial" w:hAnsi="Arial" w:cs="Arial"/>
          <w:sz w:val="20"/>
          <w:szCs w:val="20"/>
        </w:rPr>
        <w:t xml:space="preserve">, który </w:t>
      </w:r>
      <w:r w:rsidR="00AE2810">
        <w:rPr>
          <w:rFonts w:ascii="Arial" w:hAnsi="Arial" w:cs="Arial"/>
          <w:sz w:val="20"/>
          <w:szCs w:val="20"/>
        </w:rPr>
        <w:t xml:space="preserve">jest mocnym </w:t>
      </w:r>
      <w:r w:rsidR="005340CC">
        <w:rPr>
          <w:rFonts w:ascii="Arial" w:hAnsi="Arial" w:cs="Arial"/>
          <w:sz w:val="20"/>
          <w:szCs w:val="20"/>
        </w:rPr>
        <w:t xml:space="preserve">argumentem </w:t>
      </w:r>
      <w:r w:rsidR="00AE2810">
        <w:rPr>
          <w:rFonts w:ascii="Arial" w:hAnsi="Arial" w:cs="Arial"/>
          <w:sz w:val="20"/>
          <w:szCs w:val="20"/>
        </w:rPr>
        <w:t>w negocjacjach</w:t>
      </w:r>
      <w:r w:rsidR="005905EA">
        <w:rPr>
          <w:rFonts w:ascii="Arial" w:hAnsi="Arial" w:cs="Arial"/>
          <w:sz w:val="20"/>
          <w:szCs w:val="20"/>
        </w:rPr>
        <w:t xml:space="preserve"> </w:t>
      </w:r>
      <w:r w:rsidR="00A062B2">
        <w:rPr>
          <w:rFonts w:ascii="Arial" w:hAnsi="Arial" w:cs="Arial"/>
          <w:sz w:val="20"/>
          <w:szCs w:val="20"/>
        </w:rPr>
        <w:t>–</w:t>
      </w:r>
      <w:r w:rsidR="00FA78C6" w:rsidRPr="00FA78C6">
        <w:rPr>
          <w:rFonts w:ascii="Arial" w:hAnsi="Arial" w:cs="Arial"/>
          <w:sz w:val="20"/>
          <w:szCs w:val="20"/>
        </w:rPr>
        <w:t xml:space="preserve"> dodaje.</w:t>
      </w:r>
    </w:p>
    <w:p w14:paraId="2361D6C8" w14:textId="77777777" w:rsidR="00453D5A" w:rsidRDefault="00453D5A" w:rsidP="00FA78C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DA5225" w14:textId="40B24A36" w:rsidR="00FA78C6" w:rsidRPr="00FA78C6" w:rsidRDefault="00004925" w:rsidP="00C15FA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Greenman Poland odpowiada nie tylko za leasing, lecz również za </w:t>
      </w:r>
      <w:r w:rsidR="00B933B3">
        <w:rPr>
          <w:rFonts w:ascii="Arial" w:hAnsi="Arial" w:cs="Arial"/>
          <w:sz w:val="20"/>
          <w:szCs w:val="20"/>
        </w:rPr>
        <w:t>asset manag</w:t>
      </w:r>
      <w:r>
        <w:rPr>
          <w:rFonts w:ascii="Arial" w:hAnsi="Arial" w:cs="Arial"/>
          <w:sz w:val="20"/>
          <w:szCs w:val="20"/>
        </w:rPr>
        <w:t>ement</w:t>
      </w:r>
      <w:r w:rsidR="00B933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B933B3">
        <w:rPr>
          <w:rFonts w:ascii="Arial" w:hAnsi="Arial" w:cs="Arial"/>
          <w:sz w:val="20"/>
          <w:szCs w:val="20"/>
        </w:rPr>
        <w:t xml:space="preserve"> property </w:t>
      </w:r>
      <w:r>
        <w:rPr>
          <w:rFonts w:ascii="Arial" w:hAnsi="Arial" w:cs="Arial"/>
          <w:sz w:val="20"/>
          <w:szCs w:val="20"/>
        </w:rPr>
        <w:t>management</w:t>
      </w:r>
      <w:r w:rsidR="00B933B3">
        <w:rPr>
          <w:rFonts w:ascii="Arial" w:hAnsi="Arial" w:cs="Arial"/>
          <w:sz w:val="20"/>
          <w:szCs w:val="20"/>
        </w:rPr>
        <w:t xml:space="preserve">. – Przejmując </w:t>
      </w:r>
      <w:r>
        <w:rPr>
          <w:rFonts w:ascii="Arial" w:hAnsi="Arial" w:cs="Arial"/>
          <w:sz w:val="20"/>
          <w:szCs w:val="20"/>
        </w:rPr>
        <w:t xml:space="preserve">w </w:t>
      </w:r>
      <w:r w:rsidR="00760324">
        <w:rPr>
          <w:rFonts w:ascii="Arial" w:hAnsi="Arial" w:cs="Arial"/>
          <w:sz w:val="20"/>
          <w:szCs w:val="20"/>
        </w:rPr>
        <w:t xml:space="preserve">lipcu </w:t>
      </w:r>
      <w:r>
        <w:rPr>
          <w:rFonts w:ascii="Arial" w:hAnsi="Arial" w:cs="Arial"/>
          <w:sz w:val="20"/>
          <w:szCs w:val="20"/>
        </w:rPr>
        <w:t xml:space="preserve">ubiegłego roku </w:t>
      </w:r>
      <w:r w:rsidR="00B933B3">
        <w:rPr>
          <w:rFonts w:ascii="Arial" w:hAnsi="Arial" w:cs="Arial"/>
          <w:sz w:val="20"/>
          <w:szCs w:val="20"/>
        </w:rPr>
        <w:t xml:space="preserve">zarzadzanie </w:t>
      </w:r>
      <w:r>
        <w:rPr>
          <w:rFonts w:ascii="Arial" w:hAnsi="Arial" w:cs="Arial"/>
          <w:sz w:val="20"/>
          <w:szCs w:val="20"/>
        </w:rPr>
        <w:t>parkami handlowymi</w:t>
      </w:r>
      <w:r w:rsidR="00B933B3">
        <w:rPr>
          <w:rFonts w:ascii="Arial" w:hAnsi="Arial" w:cs="Arial"/>
          <w:sz w:val="20"/>
          <w:szCs w:val="20"/>
        </w:rPr>
        <w:t xml:space="preserve"> Greenman Poland wniósł świeże spojrzenie na rozwój retail parków</w:t>
      </w:r>
      <w:r w:rsidR="006A1FDC">
        <w:rPr>
          <w:rFonts w:ascii="Arial" w:hAnsi="Arial" w:cs="Arial"/>
          <w:sz w:val="20"/>
          <w:szCs w:val="20"/>
        </w:rPr>
        <w:t xml:space="preserve"> oraz format</w:t>
      </w:r>
      <w:r>
        <w:rPr>
          <w:rFonts w:ascii="Arial" w:hAnsi="Arial" w:cs="Arial"/>
          <w:sz w:val="20"/>
          <w:szCs w:val="20"/>
        </w:rPr>
        <w:t>u</w:t>
      </w:r>
      <w:r w:rsidR="006A1FDC">
        <w:rPr>
          <w:rFonts w:ascii="Arial" w:hAnsi="Arial" w:cs="Arial"/>
          <w:sz w:val="20"/>
          <w:szCs w:val="20"/>
        </w:rPr>
        <w:t xml:space="preserve"> convenience</w:t>
      </w:r>
      <w:r w:rsidR="00B933B3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Rozwijając obiekty znajdujące się w naszym portoflio</w:t>
      </w:r>
      <w:r w:rsidR="00513A02">
        <w:rPr>
          <w:rFonts w:ascii="Arial" w:hAnsi="Arial" w:cs="Arial"/>
          <w:sz w:val="20"/>
          <w:szCs w:val="20"/>
        </w:rPr>
        <w:t>,</w:t>
      </w:r>
      <w:r w:rsidR="00B933B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dążymy </w:t>
      </w:r>
      <w:r w:rsidR="00B933B3">
        <w:rPr>
          <w:rFonts w:ascii="Arial" w:hAnsi="Arial" w:cs="Arial"/>
          <w:sz w:val="20"/>
          <w:szCs w:val="20"/>
        </w:rPr>
        <w:t>do dalszego wzmacniania ich oferty, zwłaszcza o cenione przez klientów marki</w:t>
      </w:r>
      <w:r w:rsidR="00392F84">
        <w:rPr>
          <w:rFonts w:ascii="Arial" w:hAnsi="Arial" w:cs="Arial"/>
          <w:sz w:val="20"/>
          <w:szCs w:val="20"/>
        </w:rPr>
        <w:t xml:space="preserve">.  </w:t>
      </w:r>
      <w:r>
        <w:rPr>
          <w:rFonts w:ascii="Arial" w:hAnsi="Arial" w:cs="Arial"/>
          <w:sz w:val="20"/>
          <w:szCs w:val="20"/>
        </w:rPr>
        <w:t>Przedłużenia umów</w:t>
      </w:r>
      <w:r w:rsidR="00392F84">
        <w:rPr>
          <w:rFonts w:ascii="Arial" w:hAnsi="Arial" w:cs="Arial"/>
          <w:sz w:val="20"/>
          <w:szCs w:val="20"/>
        </w:rPr>
        <w:t xml:space="preserve"> z CCC oraz Deichmann są najlepszą zapowiedzią </w:t>
      </w:r>
      <w:r w:rsidR="007E3A28">
        <w:rPr>
          <w:rFonts w:ascii="Arial" w:hAnsi="Arial" w:cs="Arial"/>
          <w:sz w:val="20"/>
          <w:szCs w:val="20"/>
        </w:rPr>
        <w:t>tego kierunku</w:t>
      </w:r>
      <w:r w:rsidR="00392F84">
        <w:rPr>
          <w:rFonts w:ascii="Arial" w:hAnsi="Arial" w:cs="Arial"/>
          <w:sz w:val="20"/>
          <w:szCs w:val="20"/>
        </w:rPr>
        <w:t xml:space="preserve"> – mówi Justyna Sobczyńska. </w:t>
      </w:r>
    </w:p>
    <w:p w14:paraId="40EE251E" w14:textId="77777777" w:rsidR="00513A02" w:rsidRDefault="00513A02" w:rsidP="00513A0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CE671A" w14:textId="50CC1929" w:rsidR="00DD3069" w:rsidRPr="00513A02" w:rsidRDefault="00DD3069" w:rsidP="00513A0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Poland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DD3069">
        <w:rPr>
          <w:rFonts w:ascii="Arial" w:hAnsi="Arial" w:cs="Arial"/>
          <w:sz w:val="16"/>
          <w:szCs w:val="16"/>
          <w:shd w:val="clear" w:color="auto" w:fill="FFFFFF"/>
        </w:rPr>
        <w:t>Spar</w:t>
      </w:r>
      <w:proofErr w:type="spellEnd"/>
      <w:r w:rsidRPr="00DD3069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704398EB" w14:textId="77777777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7872E260" w14:textId="0B059576" w:rsidR="00DD3069" w:rsidRDefault="00DD3069" w:rsidP="00DD3069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Greenman Poland jest częścią </w:t>
      </w:r>
      <w:r w:rsidRPr="00DD3069">
        <w:rPr>
          <w:rFonts w:ascii="Arial" w:hAnsi="Arial" w:cs="Arial"/>
          <w:b/>
          <w:bCs/>
          <w:sz w:val="16"/>
          <w:szCs w:val="16"/>
          <w:shd w:val="clear" w:color="auto" w:fill="FFFFFF"/>
        </w:rPr>
        <w:t>Greenman Group</w:t>
      </w:r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, grupy spółek zależnych, obejmującej podmioty podlegające regulacjom Centralnego Banku Irlandii (CBI), CSSF i inne kontrolowane przez jeden podmiot – Greenman Holdings Limited. Grupa powstała w 2020 roku, jej główna siedziba znajduje się w irlandzkim Dublinie, a spółki zależne zatrudniają ok. 130 osób pracujących w 6 krajach i prowadzących działalność w 5 odrębnych obszarach biznesowych: usługi finansowe, nieruchomości, żywność i rolnictwo, media oraz zintegrowane sieci. Greenman </w:t>
      </w:r>
      <w:proofErr w:type="spellStart"/>
      <w:r w:rsidRPr="00DD3069">
        <w:rPr>
          <w:rFonts w:ascii="Arial" w:hAnsi="Arial" w:cs="Arial"/>
          <w:sz w:val="16"/>
          <w:szCs w:val="16"/>
          <w:shd w:val="clear" w:color="auto" w:fill="FFFFFF"/>
        </w:rPr>
        <w:t>Investments</w:t>
      </w:r>
      <w:proofErr w:type="spellEnd"/>
      <w:r w:rsidRPr="00DD3069">
        <w:rPr>
          <w:rFonts w:ascii="Arial" w:hAnsi="Arial" w:cs="Arial"/>
          <w:sz w:val="16"/>
          <w:szCs w:val="16"/>
          <w:shd w:val="clear" w:color="auto" w:fill="FFFFFF"/>
        </w:rPr>
        <w:t xml:space="preserve">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Default="009C13DF" w:rsidP="008D0A85">
      <w:pPr>
        <w:pStyle w:val="Bezodstpw"/>
        <w:rPr>
          <w:rStyle w:val="Pogrubienie"/>
          <w:rFonts w:ascii="Arial" w:hAnsi="Arial" w:cs="Arial"/>
          <w:color w:val="122228"/>
          <w:sz w:val="16"/>
          <w:szCs w:val="16"/>
        </w:rPr>
      </w:pPr>
    </w:p>
    <w:p w14:paraId="0063EFE6" w14:textId="321202A9" w:rsidR="00931DF9" w:rsidRPr="00DD3069" w:rsidRDefault="00931DF9" w:rsidP="008D0A85">
      <w:pPr>
        <w:pStyle w:val="Bezodstpw"/>
        <w:rPr>
          <w:rFonts w:ascii="Arial" w:hAnsi="Arial" w:cs="Arial"/>
          <w:sz w:val="20"/>
          <w:szCs w:val="20"/>
          <w:shd w:val="clear" w:color="auto" w:fill="FFFFFF"/>
          <w:lang w:val="en-US"/>
        </w:rPr>
      </w:pPr>
      <w:proofErr w:type="spellStart"/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Źródło</w:t>
      </w:r>
      <w:proofErr w:type="spellEnd"/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Greenman Poland, Greenman</w:t>
      </w:r>
      <w:r w:rsidR="00DD3069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Gro</w:t>
      </w:r>
      <w:r w:rsid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up</w:t>
      </w:r>
      <w:r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br/>
        <w:t xml:space="preserve">Tagi: </w:t>
      </w:r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Greenman Poland, FMCG,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rynek</w:t>
      </w:r>
      <w:proofErr w:type="spellEnd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 xml:space="preserve"> </w:t>
      </w:r>
      <w:proofErr w:type="spellStart"/>
      <w:r w:rsidR="004564A2" w:rsidRPr="00DD3069">
        <w:rPr>
          <w:rStyle w:val="Pogrubienie"/>
          <w:rFonts w:ascii="Arial" w:hAnsi="Arial" w:cs="Arial"/>
          <w:color w:val="122228"/>
          <w:sz w:val="16"/>
          <w:szCs w:val="16"/>
          <w:lang w:val="en-US"/>
        </w:rPr>
        <w:t>spożywczy</w:t>
      </w:r>
      <w:proofErr w:type="spellEnd"/>
    </w:p>
    <w:p w14:paraId="14F6F9D6" w14:textId="77777777" w:rsidR="002723AC" w:rsidRPr="00DD3069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n-US"/>
        </w:rPr>
      </w:pPr>
    </w:p>
    <w:sectPr w:rsidR="002723AC" w:rsidRPr="00DD3069" w:rsidSect="002C7CB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B2BC3" w14:textId="77777777" w:rsidR="002C7CB6" w:rsidRDefault="002C7CB6" w:rsidP="002723AC">
      <w:pPr>
        <w:spacing w:after="0" w:line="240" w:lineRule="auto"/>
      </w:pPr>
      <w:r>
        <w:separator/>
      </w:r>
    </w:p>
  </w:endnote>
  <w:endnote w:type="continuationSeparator" w:id="0">
    <w:p w14:paraId="72E8372B" w14:textId="77777777" w:rsidR="002C7CB6" w:rsidRDefault="002C7CB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603E5" w14:textId="77777777" w:rsidR="002C7CB6" w:rsidRDefault="002C7CB6" w:rsidP="002723AC">
      <w:pPr>
        <w:spacing w:after="0" w:line="240" w:lineRule="auto"/>
      </w:pPr>
      <w:r>
        <w:separator/>
      </w:r>
    </w:p>
  </w:footnote>
  <w:footnote w:type="continuationSeparator" w:id="0">
    <w:p w14:paraId="2D5BE391" w14:textId="77777777" w:rsidR="002C7CB6" w:rsidRDefault="002C7CB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4925"/>
    <w:rsid w:val="000058B5"/>
    <w:rsid w:val="00005936"/>
    <w:rsid w:val="000116CD"/>
    <w:rsid w:val="00022B43"/>
    <w:rsid w:val="00023DEC"/>
    <w:rsid w:val="000251A0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07DB"/>
    <w:rsid w:val="0005213F"/>
    <w:rsid w:val="000548C3"/>
    <w:rsid w:val="00055212"/>
    <w:rsid w:val="00056128"/>
    <w:rsid w:val="00056582"/>
    <w:rsid w:val="00061296"/>
    <w:rsid w:val="0007538F"/>
    <w:rsid w:val="000771E2"/>
    <w:rsid w:val="00077D26"/>
    <w:rsid w:val="00080EF8"/>
    <w:rsid w:val="000839B3"/>
    <w:rsid w:val="000854AD"/>
    <w:rsid w:val="00087E69"/>
    <w:rsid w:val="00090BDE"/>
    <w:rsid w:val="0009252D"/>
    <w:rsid w:val="00092C6B"/>
    <w:rsid w:val="000932C8"/>
    <w:rsid w:val="0009573C"/>
    <w:rsid w:val="00096B09"/>
    <w:rsid w:val="00096EC2"/>
    <w:rsid w:val="00097653"/>
    <w:rsid w:val="000A1BE0"/>
    <w:rsid w:val="000A2597"/>
    <w:rsid w:val="000A48A4"/>
    <w:rsid w:val="000A5297"/>
    <w:rsid w:val="000A60BE"/>
    <w:rsid w:val="000A719B"/>
    <w:rsid w:val="000A7626"/>
    <w:rsid w:val="000A7A51"/>
    <w:rsid w:val="000B0B9D"/>
    <w:rsid w:val="000B2580"/>
    <w:rsid w:val="000B2BE1"/>
    <w:rsid w:val="000B431C"/>
    <w:rsid w:val="000C137A"/>
    <w:rsid w:val="000C18A4"/>
    <w:rsid w:val="000C6E3B"/>
    <w:rsid w:val="000D526D"/>
    <w:rsid w:val="000E208A"/>
    <w:rsid w:val="000E3835"/>
    <w:rsid w:val="000E417F"/>
    <w:rsid w:val="000F39A4"/>
    <w:rsid w:val="000F433B"/>
    <w:rsid w:val="000F4F6C"/>
    <w:rsid w:val="000F4FE6"/>
    <w:rsid w:val="000F510B"/>
    <w:rsid w:val="000F5D5A"/>
    <w:rsid w:val="000F722D"/>
    <w:rsid w:val="000F770B"/>
    <w:rsid w:val="00102643"/>
    <w:rsid w:val="0010375A"/>
    <w:rsid w:val="00106CD3"/>
    <w:rsid w:val="00106EBF"/>
    <w:rsid w:val="001073B2"/>
    <w:rsid w:val="0011014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49B1"/>
    <w:rsid w:val="001351A4"/>
    <w:rsid w:val="0013767D"/>
    <w:rsid w:val="00140EFF"/>
    <w:rsid w:val="00142563"/>
    <w:rsid w:val="00142941"/>
    <w:rsid w:val="001432E1"/>
    <w:rsid w:val="00145355"/>
    <w:rsid w:val="00150C6F"/>
    <w:rsid w:val="001510FD"/>
    <w:rsid w:val="00152C9A"/>
    <w:rsid w:val="00155E51"/>
    <w:rsid w:val="001609D0"/>
    <w:rsid w:val="00161E43"/>
    <w:rsid w:val="001651A4"/>
    <w:rsid w:val="001655B8"/>
    <w:rsid w:val="0016769B"/>
    <w:rsid w:val="00172911"/>
    <w:rsid w:val="00172D9C"/>
    <w:rsid w:val="00174328"/>
    <w:rsid w:val="00181676"/>
    <w:rsid w:val="00181931"/>
    <w:rsid w:val="001825AF"/>
    <w:rsid w:val="00183B72"/>
    <w:rsid w:val="0018610B"/>
    <w:rsid w:val="00186187"/>
    <w:rsid w:val="001934B0"/>
    <w:rsid w:val="0019391B"/>
    <w:rsid w:val="001944CC"/>
    <w:rsid w:val="001A1ECC"/>
    <w:rsid w:val="001A59D2"/>
    <w:rsid w:val="001A5E3E"/>
    <w:rsid w:val="001A6436"/>
    <w:rsid w:val="001A72D9"/>
    <w:rsid w:val="001A754E"/>
    <w:rsid w:val="001A78E9"/>
    <w:rsid w:val="001B1F2A"/>
    <w:rsid w:val="001B5A9F"/>
    <w:rsid w:val="001B7B73"/>
    <w:rsid w:val="001C3948"/>
    <w:rsid w:val="001C60A4"/>
    <w:rsid w:val="001D0029"/>
    <w:rsid w:val="001D0CE4"/>
    <w:rsid w:val="001D15B3"/>
    <w:rsid w:val="001E39B0"/>
    <w:rsid w:val="001E4728"/>
    <w:rsid w:val="001E75BE"/>
    <w:rsid w:val="001F27B3"/>
    <w:rsid w:val="001F3E16"/>
    <w:rsid w:val="001F5A2A"/>
    <w:rsid w:val="001F74E0"/>
    <w:rsid w:val="002017A3"/>
    <w:rsid w:val="00202EA3"/>
    <w:rsid w:val="00205688"/>
    <w:rsid w:val="00207D6A"/>
    <w:rsid w:val="00211409"/>
    <w:rsid w:val="00211469"/>
    <w:rsid w:val="00212654"/>
    <w:rsid w:val="00213186"/>
    <w:rsid w:val="002145E1"/>
    <w:rsid w:val="002168C6"/>
    <w:rsid w:val="002168F7"/>
    <w:rsid w:val="00216B68"/>
    <w:rsid w:val="0022236B"/>
    <w:rsid w:val="00225C57"/>
    <w:rsid w:val="00227AC0"/>
    <w:rsid w:val="0023103B"/>
    <w:rsid w:val="002330B9"/>
    <w:rsid w:val="002335E1"/>
    <w:rsid w:val="00235013"/>
    <w:rsid w:val="0023631F"/>
    <w:rsid w:val="00236A74"/>
    <w:rsid w:val="002377A8"/>
    <w:rsid w:val="002377CC"/>
    <w:rsid w:val="00237A55"/>
    <w:rsid w:val="002447DE"/>
    <w:rsid w:val="00245D29"/>
    <w:rsid w:val="002471BA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2F28"/>
    <w:rsid w:val="002944C2"/>
    <w:rsid w:val="00295B83"/>
    <w:rsid w:val="00296A5D"/>
    <w:rsid w:val="002A4EE0"/>
    <w:rsid w:val="002A4F07"/>
    <w:rsid w:val="002B2F5A"/>
    <w:rsid w:val="002B3150"/>
    <w:rsid w:val="002B3428"/>
    <w:rsid w:val="002B6EA9"/>
    <w:rsid w:val="002B79E8"/>
    <w:rsid w:val="002C0C31"/>
    <w:rsid w:val="002C1566"/>
    <w:rsid w:val="002C1B22"/>
    <w:rsid w:val="002C3691"/>
    <w:rsid w:val="002C6A4F"/>
    <w:rsid w:val="002C7CB6"/>
    <w:rsid w:val="002D2809"/>
    <w:rsid w:val="002D3940"/>
    <w:rsid w:val="002E1147"/>
    <w:rsid w:val="002E12C2"/>
    <w:rsid w:val="002E1309"/>
    <w:rsid w:val="002E2874"/>
    <w:rsid w:val="002E4BE8"/>
    <w:rsid w:val="002E5001"/>
    <w:rsid w:val="002E6589"/>
    <w:rsid w:val="002E685D"/>
    <w:rsid w:val="002E6E25"/>
    <w:rsid w:val="002E7101"/>
    <w:rsid w:val="002F09AE"/>
    <w:rsid w:val="002F0BC4"/>
    <w:rsid w:val="002F229E"/>
    <w:rsid w:val="002F3998"/>
    <w:rsid w:val="002F54E6"/>
    <w:rsid w:val="002F596C"/>
    <w:rsid w:val="002F5D2F"/>
    <w:rsid w:val="00300B14"/>
    <w:rsid w:val="00302448"/>
    <w:rsid w:val="00314EBA"/>
    <w:rsid w:val="00315E29"/>
    <w:rsid w:val="00317D71"/>
    <w:rsid w:val="003228C4"/>
    <w:rsid w:val="003265E8"/>
    <w:rsid w:val="00332EEA"/>
    <w:rsid w:val="003334F2"/>
    <w:rsid w:val="00333DA7"/>
    <w:rsid w:val="00335BC1"/>
    <w:rsid w:val="00335D64"/>
    <w:rsid w:val="00336EBB"/>
    <w:rsid w:val="00337DA0"/>
    <w:rsid w:val="00342A3B"/>
    <w:rsid w:val="00343E3F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814D5"/>
    <w:rsid w:val="00383DA2"/>
    <w:rsid w:val="003856DD"/>
    <w:rsid w:val="00385BF4"/>
    <w:rsid w:val="003915EA"/>
    <w:rsid w:val="00392F84"/>
    <w:rsid w:val="003973E6"/>
    <w:rsid w:val="003A1FDB"/>
    <w:rsid w:val="003A51E8"/>
    <w:rsid w:val="003A7318"/>
    <w:rsid w:val="003B1FBD"/>
    <w:rsid w:val="003B4F8D"/>
    <w:rsid w:val="003B4FC3"/>
    <w:rsid w:val="003B650C"/>
    <w:rsid w:val="003B711D"/>
    <w:rsid w:val="003B7357"/>
    <w:rsid w:val="003C09DE"/>
    <w:rsid w:val="003C1F5D"/>
    <w:rsid w:val="003C328B"/>
    <w:rsid w:val="003D0378"/>
    <w:rsid w:val="003D1B6C"/>
    <w:rsid w:val="003D1D27"/>
    <w:rsid w:val="003D3FF0"/>
    <w:rsid w:val="003D4550"/>
    <w:rsid w:val="003D476A"/>
    <w:rsid w:val="003D4C23"/>
    <w:rsid w:val="003D5F0B"/>
    <w:rsid w:val="003E4A84"/>
    <w:rsid w:val="003F5329"/>
    <w:rsid w:val="004006E0"/>
    <w:rsid w:val="00405666"/>
    <w:rsid w:val="00406448"/>
    <w:rsid w:val="004064C4"/>
    <w:rsid w:val="00407450"/>
    <w:rsid w:val="00411A3C"/>
    <w:rsid w:val="00416D80"/>
    <w:rsid w:val="00417500"/>
    <w:rsid w:val="00417646"/>
    <w:rsid w:val="0042084C"/>
    <w:rsid w:val="00421386"/>
    <w:rsid w:val="00421AF2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6054"/>
    <w:rsid w:val="00446063"/>
    <w:rsid w:val="00446084"/>
    <w:rsid w:val="004468C7"/>
    <w:rsid w:val="00446C9E"/>
    <w:rsid w:val="004474C3"/>
    <w:rsid w:val="00450C5E"/>
    <w:rsid w:val="00452A6C"/>
    <w:rsid w:val="00453D5A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47F8"/>
    <w:rsid w:val="00495C91"/>
    <w:rsid w:val="004A0A11"/>
    <w:rsid w:val="004A0F13"/>
    <w:rsid w:val="004A3A43"/>
    <w:rsid w:val="004A4618"/>
    <w:rsid w:val="004B154D"/>
    <w:rsid w:val="004B2E07"/>
    <w:rsid w:val="004B46C7"/>
    <w:rsid w:val="004B6626"/>
    <w:rsid w:val="004B6E7A"/>
    <w:rsid w:val="004B6EC1"/>
    <w:rsid w:val="004B75D0"/>
    <w:rsid w:val="004C0191"/>
    <w:rsid w:val="004C06A1"/>
    <w:rsid w:val="004C2823"/>
    <w:rsid w:val="004C3193"/>
    <w:rsid w:val="004C3E66"/>
    <w:rsid w:val="004C7BD8"/>
    <w:rsid w:val="004D2B99"/>
    <w:rsid w:val="004D3B34"/>
    <w:rsid w:val="004D3DA0"/>
    <w:rsid w:val="004D4AA5"/>
    <w:rsid w:val="004D5075"/>
    <w:rsid w:val="004D6A4E"/>
    <w:rsid w:val="004D6F3B"/>
    <w:rsid w:val="004D7B4C"/>
    <w:rsid w:val="004E0C35"/>
    <w:rsid w:val="004F1F7C"/>
    <w:rsid w:val="004F2DDF"/>
    <w:rsid w:val="004F4A34"/>
    <w:rsid w:val="004F66D9"/>
    <w:rsid w:val="00500369"/>
    <w:rsid w:val="0050392C"/>
    <w:rsid w:val="00507EF9"/>
    <w:rsid w:val="00510D87"/>
    <w:rsid w:val="00511D1E"/>
    <w:rsid w:val="00512C5E"/>
    <w:rsid w:val="00513491"/>
    <w:rsid w:val="00513A02"/>
    <w:rsid w:val="00515FB5"/>
    <w:rsid w:val="005171C1"/>
    <w:rsid w:val="0052016B"/>
    <w:rsid w:val="00520665"/>
    <w:rsid w:val="00524FA7"/>
    <w:rsid w:val="00532370"/>
    <w:rsid w:val="00532C4D"/>
    <w:rsid w:val="005340CC"/>
    <w:rsid w:val="005346F9"/>
    <w:rsid w:val="0054484A"/>
    <w:rsid w:val="00553866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F9A"/>
    <w:rsid w:val="00574BBE"/>
    <w:rsid w:val="00575E1E"/>
    <w:rsid w:val="00580632"/>
    <w:rsid w:val="005826D3"/>
    <w:rsid w:val="005827C7"/>
    <w:rsid w:val="005837C7"/>
    <w:rsid w:val="005862A5"/>
    <w:rsid w:val="005878B0"/>
    <w:rsid w:val="005905EA"/>
    <w:rsid w:val="005925F4"/>
    <w:rsid w:val="00592DD6"/>
    <w:rsid w:val="00596011"/>
    <w:rsid w:val="00597100"/>
    <w:rsid w:val="005A07B0"/>
    <w:rsid w:val="005A2773"/>
    <w:rsid w:val="005A5C85"/>
    <w:rsid w:val="005B0220"/>
    <w:rsid w:val="005B0388"/>
    <w:rsid w:val="005B040C"/>
    <w:rsid w:val="005B32F2"/>
    <w:rsid w:val="005C0880"/>
    <w:rsid w:val="005C4EDB"/>
    <w:rsid w:val="005C5CF7"/>
    <w:rsid w:val="005D0445"/>
    <w:rsid w:val="005D3431"/>
    <w:rsid w:val="005D6A2C"/>
    <w:rsid w:val="005D6F0A"/>
    <w:rsid w:val="005E4BE2"/>
    <w:rsid w:val="005E4E4D"/>
    <w:rsid w:val="005E6C02"/>
    <w:rsid w:val="005F009B"/>
    <w:rsid w:val="005F377E"/>
    <w:rsid w:val="005F4452"/>
    <w:rsid w:val="005F61D0"/>
    <w:rsid w:val="00604A17"/>
    <w:rsid w:val="006108AF"/>
    <w:rsid w:val="006119A7"/>
    <w:rsid w:val="00613C40"/>
    <w:rsid w:val="006147A2"/>
    <w:rsid w:val="0061515F"/>
    <w:rsid w:val="006152B6"/>
    <w:rsid w:val="0061683E"/>
    <w:rsid w:val="006211C1"/>
    <w:rsid w:val="0062219B"/>
    <w:rsid w:val="0062288B"/>
    <w:rsid w:val="00622A67"/>
    <w:rsid w:val="00622BE9"/>
    <w:rsid w:val="00622C6F"/>
    <w:rsid w:val="00622CB4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65BC"/>
    <w:rsid w:val="0064666A"/>
    <w:rsid w:val="00646CB0"/>
    <w:rsid w:val="00660288"/>
    <w:rsid w:val="00660B43"/>
    <w:rsid w:val="006630BE"/>
    <w:rsid w:val="0066449F"/>
    <w:rsid w:val="00670034"/>
    <w:rsid w:val="00674983"/>
    <w:rsid w:val="00675BCB"/>
    <w:rsid w:val="006802D5"/>
    <w:rsid w:val="00683E71"/>
    <w:rsid w:val="00686476"/>
    <w:rsid w:val="00686C2F"/>
    <w:rsid w:val="00686F7F"/>
    <w:rsid w:val="006870ED"/>
    <w:rsid w:val="00687557"/>
    <w:rsid w:val="006A1FDC"/>
    <w:rsid w:val="006A3357"/>
    <w:rsid w:val="006A51CB"/>
    <w:rsid w:val="006A67F9"/>
    <w:rsid w:val="006B20DA"/>
    <w:rsid w:val="006B2AA3"/>
    <w:rsid w:val="006B3DB2"/>
    <w:rsid w:val="006B4083"/>
    <w:rsid w:val="006B6BC5"/>
    <w:rsid w:val="006B7C08"/>
    <w:rsid w:val="006C0E8A"/>
    <w:rsid w:val="006C50EC"/>
    <w:rsid w:val="006C798E"/>
    <w:rsid w:val="006D0637"/>
    <w:rsid w:val="006D0F9D"/>
    <w:rsid w:val="006D1877"/>
    <w:rsid w:val="006D44B5"/>
    <w:rsid w:val="006E0458"/>
    <w:rsid w:val="006E135C"/>
    <w:rsid w:val="006E1F57"/>
    <w:rsid w:val="006E3C92"/>
    <w:rsid w:val="006F010A"/>
    <w:rsid w:val="006F6C6B"/>
    <w:rsid w:val="00702595"/>
    <w:rsid w:val="00702F3A"/>
    <w:rsid w:val="0070562F"/>
    <w:rsid w:val="00705AE8"/>
    <w:rsid w:val="00705AED"/>
    <w:rsid w:val="00710D2B"/>
    <w:rsid w:val="00710D88"/>
    <w:rsid w:val="0071229B"/>
    <w:rsid w:val="00715CD6"/>
    <w:rsid w:val="00715E56"/>
    <w:rsid w:val="0071709B"/>
    <w:rsid w:val="007237A2"/>
    <w:rsid w:val="00735BA4"/>
    <w:rsid w:val="007376A0"/>
    <w:rsid w:val="0073794C"/>
    <w:rsid w:val="0074159D"/>
    <w:rsid w:val="00747F3E"/>
    <w:rsid w:val="00755283"/>
    <w:rsid w:val="00757824"/>
    <w:rsid w:val="00760324"/>
    <w:rsid w:val="00760A3E"/>
    <w:rsid w:val="007641E1"/>
    <w:rsid w:val="00764DD7"/>
    <w:rsid w:val="00765408"/>
    <w:rsid w:val="007665A1"/>
    <w:rsid w:val="0076670C"/>
    <w:rsid w:val="0077174C"/>
    <w:rsid w:val="007729CF"/>
    <w:rsid w:val="00772A32"/>
    <w:rsid w:val="00776997"/>
    <w:rsid w:val="007771F1"/>
    <w:rsid w:val="0077789E"/>
    <w:rsid w:val="007800FF"/>
    <w:rsid w:val="00780B44"/>
    <w:rsid w:val="007863C9"/>
    <w:rsid w:val="0078689B"/>
    <w:rsid w:val="00787F94"/>
    <w:rsid w:val="007930F7"/>
    <w:rsid w:val="0079451E"/>
    <w:rsid w:val="007951F5"/>
    <w:rsid w:val="0079743F"/>
    <w:rsid w:val="00797E96"/>
    <w:rsid w:val="007A1253"/>
    <w:rsid w:val="007A2790"/>
    <w:rsid w:val="007A5B56"/>
    <w:rsid w:val="007A6401"/>
    <w:rsid w:val="007B2D22"/>
    <w:rsid w:val="007B319E"/>
    <w:rsid w:val="007B5E8F"/>
    <w:rsid w:val="007B73F7"/>
    <w:rsid w:val="007C5ED4"/>
    <w:rsid w:val="007D1106"/>
    <w:rsid w:val="007D14C8"/>
    <w:rsid w:val="007D4B17"/>
    <w:rsid w:val="007D4CF2"/>
    <w:rsid w:val="007D6889"/>
    <w:rsid w:val="007D7EBE"/>
    <w:rsid w:val="007E026C"/>
    <w:rsid w:val="007E3A28"/>
    <w:rsid w:val="007E412C"/>
    <w:rsid w:val="007E554B"/>
    <w:rsid w:val="007E682C"/>
    <w:rsid w:val="007E7EFE"/>
    <w:rsid w:val="007F10F6"/>
    <w:rsid w:val="007F4308"/>
    <w:rsid w:val="007F67EA"/>
    <w:rsid w:val="007F691E"/>
    <w:rsid w:val="007F766B"/>
    <w:rsid w:val="007F76A0"/>
    <w:rsid w:val="008015C0"/>
    <w:rsid w:val="008111CB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6436C"/>
    <w:rsid w:val="00865044"/>
    <w:rsid w:val="00865AB8"/>
    <w:rsid w:val="00865D87"/>
    <w:rsid w:val="00866151"/>
    <w:rsid w:val="008665A7"/>
    <w:rsid w:val="00866755"/>
    <w:rsid w:val="00866B63"/>
    <w:rsid w:val="00870883"/>
    <w:rsid w:val="008713B7"/>
    <w:rsid w:val="00872DC4"/>
    <w:rsid w:val="00881843"/>
    <w:rsid w:val="008824C2"/>
    <w:rsid w:val="00886617"/>
    <w:rsid w:val="00890F9E"/>
    <w:rsid w:val="00892306"/>
    <w:rsid w:val="00894B7E"/>
    <w:rsid w:val="00897E35"/>
    <w:rsid w:val="008A0158"/>
    <w:rsid w:val="008A33D2"/>
    <w:rsid w:val="008A55AB"/>
    <w:rsid w:val="008A7201"/>
    <w:rsid w:val="008B45D2"/>
    <w:rsid w:val="008C2239"/>
    <w:rsid w:val="008C3E79"/>
    <w:rsid w:val="008C65AA"/>
    <w:rsid w:val="008D0A85"/>
    <w:rsid w:val="008D37CE"/>
    <w:rsid w:val="008D5198"/>
    <w:rsid w:val="008D5F27"/>
    <w:rsid w:val="008D6016"/>
    <w:rsid w:val="008E3F85"/>
    <w:rsid w:val="008E4B38"/>
    <w:rsid w:val="008F0E04"/>
    <w:rsid w:val="008F7B3E"/>
    <w:rsid w:val="009032C6"/>
    <w:rsid w:val="00904F0D"/>
    <w:rsid w:val="00910925"/>
    <w:rsid w:val="0091145D"/>
    <w:rsid w:val="0091152E"/>
    <w:rsid w:val="00911BA9"/>
    <w:rsid w:val="00911D4A"/>
    <w:rsid w:val="009171A7"/>
    <w:rsid w:val="00923023"/>
    <w:rsid w:val="009248B9"/>
    <w:rsid w:val="00925476"/>
    <w:rsid w:val="00926FC0"/>
    <w:rsid w:val="00927B0E"/>
    <w:rsid w:val="00931DF9"/>
    <w:rsid w:val="00932F5E"/>
    <w:rsid w:val="0093346F"/>
    <w:rsid w:val="00935460"/>
    <w:rsid w:val="00937FE1"/>
    <w:rsid w:val="00944033"/>
    <w:rsid w:val="009450B4"/>
    <w:rsid w:val="00950E4D"/>
    <w:rsid w:val="009562F8"/>
    <w:rsid w:val="00956DFF"/>
    <w:rsid w:val="00960679"/>
    <w:rsid w:val="00964376"/>
    <w:rsid w:val="00965E40"/>
    <w:rsid w:val="00967A39"/>
    <w:rsid w:val="00970F5E"/>
    <w:rsid w:val="0097179A"/>
    <w:rsid w:val="00974185"/>
    <w:rsid w:val="009759B4"/>
    <w:rsid w:val="009773EF"/>
    <w:rsid w:val="009806AD"/>
    <w:rsid w:val="009876EC"/>
    <w:rsid w:val="00987EDD"/>
    <w:rsid w:val="00991092"/>
    <w:rsid w:val="009A31C8"/>
    <w:rsid w:val="009B19C7"/>
    <w:rsid w:val="009B4AC7"/>
    <w:rsid w:val="009B4AE2"/>
    <w:rsid w:val="009B5FD4"/>
    <w:rsid w:val="009B6D4B"/>
    <w:rsid w:val="009C127F"/>
    <w:rsid w:val="009C13DF"/>
    <w:rsid w:val="009C22C6"/>
    <w:rsid w:val="009C2A0F"/>
    <w:rsid w:val="009C2E8E"/>
    <w:rsid w:val="009C6733"/>
    <w:rsid w:val="009D7149"/>
    <w:rsid w:val="009D72E7"/>
    <w:rsid w:val="009D7BF4"/>
    <w:rsid w:val="009E1D49"/>
    <w:rsid w:val="009E7110"/>
    <w:rsid w:val="009F09FA"/>
    <w:rsid w:val="009F16FB"/>
    <w:rsid w:val="009F75C1"/>
    <w:rsid w:val="00A02908"/>
    <w:rsid w:val="00A03244"/>
    <w:rsid w:val="00A0608F"/>
    <w:rsid w:val="00A062B2"/>
    <w:rsid w:val="00A1059A"/>
    <w:rsid w:val="00A10606"/>
    <w:rsid w:val="00A10D67"/>
    <w:rsid w:val="00A13EF7"/>
    <w:rsid w:val="00A15485"/>
    <w:rsid w:val="00A16CAA"/>
    <w:rsid w:val="00A21DED"/>
    <w:rsid w:val="00A24606"/>
    <w:rsid w:val="00A2563A"/>
    <w:rsid w:val="00A26428"/>
    <w:rsid w:val="00A316EF"/>
    <w:rsid w:val="00A33C1E"/>
    <w:rsid w:val="00A34F6B"/>
    <w:rsid w:val="00A37BD5"/>
    <w:rsid w:val="00A42158"/>
    <w:rsid w:val="00A425FD"/>
    <w:rsid w:val="00A43C5C"/>
    <w:rsid w:val="00A446AF"/>
    <w:rsid w:val="00A47F74"/>
    <w:rsid w:val="00A5206A"/>
    <w:rsid w:val="00A5208D"/>
    <w:rsid w:val="00A53B5B"/>
    <w:rsid w:val="00A54387"/>
    <w:rsid w:val="00A572B4"/>
    <w:rsid w:val="00A63043"/>
    <w:rsid w:val="00A642DC"/>
    <w:rsid w:val="00A65412"/>
    <w:rsid w:val="00A66051"/>
    <w:rsid w:val="00A673EA"/>
    <w:rsid w:val="00A7290B"/>
    <w:rsid w:val="00A738BD"/>
    <w:rsid w:val="00A832E0"/>
    <w:rsid w:val="00A8596C"/>
    <w:rsid w:val="00A862F2"/>
    <w:rsid w:val="00A879BE"/>
    <w:rsid w:val="00A92224"/>
    <w:rsid w:val="00A93077"/>
    <w:rsid w:val="00AA1F3F"/>
    <w:rsid w:val="00AA1FD5"/>
    <w:rsid w:val="00AA5378"/>
    <w:rsid w:val="00AA64BD"/>
    <w:rsid w:val="00AB07A4"/>
    <w:rsid w:val="00AB4B30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2810"/>
    <w:rsid w:val="00AE5D64"/>
    <w:rsid w:val="00AF0BDB"/>
    <w:rsid w:val="00AF14F8"/>
    <w:rsid w:val="00B02BCB"/>
    <w:rsid w:val="00B1211F"/>
    <w:rsid w:val="00B12A21"/>
    <w:rsid w:val="00B1641C"/>
    <w:rsid w:val="00B166EB"/>
    <w:rsid w:val="00B21887"/>
    <w:rsid w:val="00B26098"/>
    <w:rsid w:val="00B26BBB"/>
    <w:rsid w:val="00B2770E"/>
    <w:rsid w:val="00B31475"/>
    <w:rsid w:val="00B337F4"/>
    <w:rsid w:val="00B36465"/>
    <w:rsid w:val="00B41F7E"/>
    <w:rsid w:val="00B479A3"/>
    <w:rsid w:val="00B617BF"/>
    <w:rsid w:val="00B62983"/>
    <w:rsid w:val="00B73F2A"/>
    <w:rsid w:val="00B7707E"/>
    <w:rsid w:val="00B800F3"/>
    <w:rsid w:val="00B84813"/>
    <w:rsid w:val="00B86427"/>
    <w:rsid w:val="00B8744C"/>
    <w:rsid w:val="00B933B3"/>
    <w:rsid w:val="00BA304E"/>
    <w:rsid w:val="00BA7029"/>
    <w:rsid w:val="00BA743A"/>
    <w:rsid w:val="00BB3B24"/>
    <w:rsid w:val="00BB4041"/>
    <w:rsid w:val="00BB502B"/>
    <w:rsid w:val="00BB541B"/>
    <w:rsid w:val="00BB605A"/>
    <w:rsid w:val="00BB6C0C"/>
    <w:rsid w:val="00BC166F"/>
    <w:rsid w:val="00BC1B9F"/>
    <w:rsid w:val="00BC2834"/>
    <w:rsid w:val="00BC66AF"/>
    <w:rsid w:val="00BC6EFE"/>
    <w:rsid w:val="00BC7278"/>
    <w:rsid w:val="00BD32CE"/>
    <w:rsid w:val="00BE0FD4"/>
    <w:rsid w:val="00BE22C7"/>
    <w:rsid w:val="00BF1D9D"/>
    <w:rsid w:val="00BF2734"/>
    <w:rsid w:val="00BF2C9B"/>
    <w:rsid w:val="00BF52E9"/>
    <w:rsid w:val="00BF55A9"/>
    <w:rsid w:val="00BF7846"/>
    <w:rsid w:val="00C01DF8"/>
    <w:rsid w:val="00C02823"/>
    <w:rsid w:val="00C051CC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5FAA"/>
    <w:rsid w:val="00C168E7"/>
    <w:rsid w:val="00C17674"/>
    <w:rsid w:val="00C177B3"/>
    <w:rsid w:val="00C203DC"/>
    <w:rsid w:val="00C2072B"/>
    <w:rsid w:val="00C20E44"/>
    <w:rsid w:val="00C227B9"/>
    <w:rsid w:val="00C22948"/>
    <w:rsid w:val="00C23812"/>
    <w:rsid w:val="00C243E5"/>
    <w:rsid w:val="00C25CB1"/>
    <w:rsid w:val="00C27E01"/>
    <w:rsid w:val="00C31B53"/>
    <w:rsid w:val="00C31DBC"/>
    <w:rsid w:val="00C37D84"/>
    <w:rsid w:val="00C42C4C"/>
    <w:rsid w:val="00C4659A"/>
    <w:rsid w:val="00C478A5"/>
    <w:rsid w:val="00C50E7B"/>
    <w:rsid w:val="00C5143E"/>
    <w:rsid w:val="00C5478E"/>
    <w:rsid w:val="00C5576F"/>
    <w:rsid w:val="00C56421"/>
    <w:rsid w:val="00C56DA1"/>
    <w:rsid w:val="00C574C2"/>
    <w:rsid w:val="00C61916"/>
    <w:rsid w:val="00C62C8A"/>
    <w:rsid w:val="00C6362B"/>
    <w:rsid w:val="00C66333"/>
    <w:rsid w:val="00C6755C"/>
    <w:rsid w:val="00C72391"/>
    <w:rsid w:val="00C75ADD"/>
    <w:rsid w:val="00C7743D"/>
    <w:rsid w:val="00C82497"/>
    <w:rsid w:val="00C84DF5"/>
    <w:rsid w:val="00C906D0"/>
    <w:rsid w:val="00C90B5E"/>
    <w:rsid w:val="00C937CD"/>
    <w:rsid w:val="00C97B72"/>
    <w:rsid w:val="00CA25C0"/>
    <w:rsid w:val="00CA2957"/>
    <w:rsid w:val="00CA5480"/>
    <w:rsid w:val="00CB096F"/>
    <w:rsid w:val="00CB0BC4"/>
    <w:rsid w:val="00CB1AA8"/>
    <w:rsid w:val="00CB7F3A"/>
    <w:rsid w:val="00CC0E03"/>
    <w:rsid w:val="00CC1061"/>
    <w:rsid w:val="00CC18DE"/>
    <w:rsid w:val="00CD08D3"/>
    <w:rsid w:val="00CD2191"/>
    <w:rsid w:val="00CD35C2"/>
    <w:rsid w:val="00CD44FF"/>
    <w:rsid w:val="00CD5B66"/>
    <w:rsid w:val="00CE25F9"/>
    <w:rsid w:val="00CE7CBB"/>
    <w:rsid w:val="00CE7D04"/>
    <w:rsid w:val="00CF14A4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2D2"/>
    <w:rsid w:val="00D13C0D"/>
    <w:rsid w:val="00D1516F"/>
    <w:rsid w:val="00D301DE"/>
    <w:rsid w:val="00D311E2"/>
    <w:rsid w:val="00D319A9"/>
    <w:rsid w:val="00D32F87"/>
    <w:rsid w:val="00D35886"/>
    <w:rsid w:val="00D369F8"/>
    <w:rsid w:val="00D41159"/>
    <w:rsid w:val="00D42406"/>
    <w:rsid w:val="00D42AE9"/>
    <w:rsid w:val="00D42DFF"/>
    <w:rsid w:val="00D50DD0"/>
    <w:rsid w:val="00D52451"/>
    <w:rsid w:val="00D5393D"/>
    <w:rsid w:val="00D543CA"/>
    <w:rsid w:val="00D561D6"/>
    <w:rsid w:val="00D605A6"/>
    <w:rsid w:val="00D60ECD"/>
    <w:rsid w:val="00D63133"/>
    <w:rsid w:val="00D64566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4EE9"/>
    <w:rsid w:val="00DA72B5"/>
    <w:rsid w:val="00DB2811"/>
    <w:rsid w:val="00DB74AA"/>
    <w:rsid w:val="00DC47EC"/>
    <w:rsid w:val="00DC7751"/>
    <w:rsid w:val="00DD2C12"/>
    <w:rsid w:val="00DD3069"/>
    <w:rsid w:val="00DD44F2"/>
    <w:rsid w:val="00DD50FB"/>
    <w:rsid w:val="00DD5255"/>
    <w:rsid w:val="00DD65C2"/>
    <w:rsid w:val="00DE0E00"/>
    <w:rsid w:val="00DE4D06"/>
    <w:rsid w:val="00DE5BD0"/>
    <w:rsid w:val="00DF1347"/>
    <w:rsid w:val="00DF14C1"/>
    <w:rsid w:val="00DF45D8"/>
    <w:rsid w:val="00DF4CC9"/>
    <w:rsid w:val="00E0060C"/>
    <w:rsid w:val="00E022B7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17803"/>
    <w:rsid w:val="00E22D93"/>
    <w:rsid w:val="00E25D6B"/>
    <w:rsid w:val="00E269C6"/>
    <w:rsid w:val="00E30345"/>
    <w:rsid w:val="00E32162"/>
    <w:rsid w:val="00E32C6E"/>
    <w:rsid w:val="00E346AB"/>
    <w:rsid w:val="00E35531"/>
    <w:rsid w:val="00E423BA"/>
    <w:rsid w:val="00E44ADB"/>
    <w:rsid w:val="00E44B96"/>
    <w:rsid w:val="00E44BBF"/>
    <w:rsid w:val="00E45331"/>
    <w:rsid w:val="00E45B27"/>
    <w:rsid w:val="00E50494"/>
    <w:rsid w:val="00E50A07"/>
    <w:rsid w:val="00E5261C"/>
    <w:rsid w:val="00E53E1C"/>
    <w:rsid w:val="00E53E99"/>
    <w:rsid w:val="00E550CF"/>
    <w:rsid w:val="00E5530A"/>
    <w:rsid w:val="00E6122C"/>
    <w:rsid w:val="00E61E05"/>
    <w:rsid w:val="00E625F6"/>
    <w:rsid w:val="00E662BA"/>
    <w:rsid w:val="00E66EE7"/>
    <w:rsid w:val="00E722AA"/>
    <w:rsid w:val="00E75E36"/>
    <w:rsid w:val="00E9234B"/>
    <w:rsid w:val="00E927CF"/>
    <w:rsid w:val="00E93539"/>
    <w:rsid w:val="00E962EA"/>
    <w:rsid w:val="00E9756E"/>
    <w:rsid w:val="00EA27B1"/>
    <w:rsid w:val="00EA465B"/>
    <w:rsid w:val="00EA53DE"/>
    <w:rsid w:val="00EB0F53"/>
    <w:rsid w:val="00EB2171"/>
    <w:rsid w:val="00EB3476"/>
    <w:rsid w:val="00EB4418"/>
    <w:rsid w:val="00EB5B61"/>
    <w:rsid w:val="00EB6C79"/>
    <w:rsid w:val="00EB7508"/>
    <w:rsid w:val="00ED228E"/>
    <w:rsid w:val="00ED2754"/>
    <w:rsid w:val="00ED5127"/>
    <w:rsid w:val="00EE13B8"/>
    <w:rsid w:val="00EE2B5D"/>
    <w:rsid w:val="00EE2EA5"/>
    <w:rsid w:val="00EE3C44"/>
    <w:rsid w:val="00EE44F4"/>
    <w:rsid w:val="00EF17E9"/>
    <w:rsid w:val="00EF3705"/>
    <w:rsid w:val="00F01A0F"/>
    <w:rsid w:val="00F01C95"/>
    <w:rsid w:val="00F01E02"/>
    <w:rsid w:val="00F031EC"/>
    <w:rsid w:val="00F03466"/>
    <w:rsid w:val="00F03BAF"/>
    <w:rsid w:val="00F04997"/>
    <w:rsid w:val="00F0641C"/>
    <w:rsid w:val="00F06F9A"/>
    <w:rsid w:val="00F110CD"/>
    <w:rsid w:val="00F14C20"/>
    <w:rsid w:val="00F16EAB"/>
    <w:rsid w:val="00F2156B"/>
    <w:rsid w:val="00F23F51"/>
    <w:rsid w:val="00F24F37"/>
    <w:rsid w:val="00F256AF"/>
    <w:rsid w:val="00F27C0A"/>
    <w:rsid w:val="00F3127F"/>
    <w:rsid w:val="00F3135D"/>
    <w:rsid w:val="00F315E7"/>
    <w:rsid w:val="00F32D9C"/>
    <w:rsid w:val="00F3411C"/>
    <w:rsid w:val="00F40044"/>
    <w:rsid w:val="00F406CA"/>
    <w:rsid w:val="00F45E15"/>
    <w:rsid w:val="00F52375"/>
    <w:rsid w:val="00F53B12"/>
    <w:rsid w:val="00F569A6"/>
    <w:rsid w:val="00F60D6B"/>
    <w:rsid w:val="00F61C74"/>
    <w:rsid w:val="00F6386D"/>
    <w:rsid w:val="00F640C5"/>
    <w:rsid w:val="00F6589D"/>
    <w:rsid w:val="00F66011"/>
    <w:rsid w:val="00F67215"/>
    <w:rsid w:val="00F67A0C"/>
    <w:rsid w:val="00F75349"/>
    <w:rsid w:val="00F75D9E"/>
    <w:rsid w:val="00F7721C"/>
    <w:rsid w:val="00F77AFF"/>
    <w:rsid w:val="00F807D8"/>
    <w:rsid w:val="00F90F6F"/>
    <w:rsid w:val="00F914AB"/>
    <w:rsid w:val="00FA033D"/>
    <w:rsid w:val="00FA0D35"/>
    <w:rsid w:val="00FA128A"/>
    <w:rsid w:val="00FA2550"/>
    <w:rsid w:val="00FA4B4A"/>
    <w:rsid w:val="00FA68CE"/>
    <w:rsid w:val="00FA78C6"/>
    <w:rsid w:val="00FB11EF"/>
    <w:rsid w:val="00FB2353"/>
    <w:rsid w:val="00FB2C61"/>
    <w:rsid w:val="00FB4FB2"/>
    <w:rsid w:val="00FB785E"/>
    <w:rsid w:val="00FD3F70"/>
    <w:rsid w:val="00FD5314"/>
    <w:rsid w:val="00FD6AB9"/>
    <w:rsid w:val="00FE0428"/>
    <w:rsid w:val="00FE07C9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BB537C8C-60A1-4CE6-8552-0FA745530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cp:lastModifiedBy>Tomasz Pietrzak</cp:lastModifiedBy>
  <cp:revision>5</cp:revision>
  <dcterms:created xsi:type="dcterms:W3CDTF">2024-01-10T13:27:00Z</dcterms:created>
  <dcterms:modified xsi:type="dcterms:W3CDTF">2024-01-11T09:52:00Z</dcterms:modified>
</cp:coreProperties>
</file>