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2F11A34" w:rsidR="006F6C92" w:rsidRPr="0054269F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269F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54269F" w:rsidRPr="0054269F">
        <w:rPr>
          <w:rFonts w:ascii="Arial" w:hAnsi="Arial" w:cs="Arial"/>
          <w:b/>
          <w:bCs/>
          <w:sz w:val="20"/>
          <w:szCs w:val="20"/>
        </w:rPr>
        <w:t>08</w:t>
      </w:r>
      <w:r w:rsidR="00092BE6" w:rsidRPr="0054269F">
        <w:rPr>
          <w:rFonts w:ascii="Arial" w:hAnsi="Arial" w:cs="Arial"/>
          <w:b/>
          <w:bCs/>
          <w:sz w:val="20"/>
          <w:szCs w:val="20"/>
        </w:rPr>
        <w:t>-</w:t>
      </w:r>
      <w:r w:rsidR="00490E36" w:rsidRPr="0054269F">
        <w:rPr>
          <w:rFonts w:ascii="Arial" w:hAnsi="Arial" w:cs="Arial"/>
          <w:b/>
          <w:bCs/>
          <w:sz w:val="20"/>
          <w:szCs w:val="20"/>
        </w:rPr>
        <w:t>01</w:t>
      </w:r>
      <w:r w:rsidR="00A11B70" w:rsidRPr="0054269F">
        <w:rPr>
          <w:rFonts w:ascii="Arial" w:hAnsi="Arial" w:cs="Arial"/>
          <w:b/>
          <w:bCs/>
          <w:sz w:val="20"/>
          <w:szCs w:val="20"/>
        </w:rPr>
        <w:t>-</w:t>
      </w:r>
      <w:r w:rsidR="00543D94" w:rsidRPr="0054269F">
        <w:rPr>
          <w:rFonts w:ascii="Arial" w:hAnsi="Arial" w:cs="Arial"/>
          <w:b/>
          <w:bCs/>
          <w:sz w:val="20"/>
          <w:szCs w:val="20"/>
        </w:rPr>
        <w:t>202</w:t>
      </w:r>
      <w:r w:rsidR="00490E36" w:rsidRPr="0054269F">
        <w:rPr>
          <w:rFonts w:ascii="Arial" w:hAnsi="Arial" w:cs="Arial"/>
          <w:b/>
          <w:bCs/>
          <w:sz w:val="20"/>
          <w:szCs w:val="20"/>
        </w:rPr>
        <w:t>4</w:t>
      </w:r>
      <w:r w:rsidRPr="0054269F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54269F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54269F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54269F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54269F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54269F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54269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54269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54269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54269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54269F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54269F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Pr="0054269F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BE87B6C" w14:textId="77777777" w:rsidR="00BB3F19" w:rsidRPr="0054269F" w:rsidRDefault="00BB3F19" w:rsidP="00544E9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35C9BF3" w14:textId="77777777" w:rsidR="0047034E" w:rsidRPr="0054269F" w:rsidRDefault="0047034E" w:rsidP="0047034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54269F">
        <w:rPr>
          <w:rFonts w:ascii="Arial" w:hAnsi="Arial" w:cs="Arial"/>
          <w:b/>
          <w:bCs/>
          <w:sz w:val="24"/>
          <w:szCs w:val="24"/>
        </w:rPr>
        <w:t>Galeria Północna coraz mocniejsza w Warszawie i nie tylko</w:t>
      </w:r>
    </w:p>
    <w:p w14:paraId="52D797C3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E5EF8E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23DAA7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587F7C2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269F">
        <w:rPr>
          <w:rFonts w:ascii="Arial" w:hAnsi="Arial" w:cs="Arial"/>
          <w:b/>
          <w:bCs/>
          <w:sz w:val="20"/>
          <w:szCs w:val="20"/>
        </w:rPr>
        <w:t xml:space="preserve">Galeria Północna umacnia swoją pozycję na bardzo konkurencyjnym warszawskim rynku centrów handlowych. 2023 rok obiekt z portfolio GTC SA zakończył nie tylko z rosnącymi obrotami, ale także wzrostem footfall’u i nowościami w ofercie.  </w:t>
      </w:r>
    </w:p>
    <w:p w14:paraId="5C38A511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42163FB" w14:textId="790BD856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 xml:space="preserve">Pozytywny trend widać było zwłaszcza w ostatnich miesiącach 2023 roku. W październiku rok do roku galeria zanotowała obroty wyższe o ponad 11,4 proc. Z kolei listopad 2023 </w:t>
      </w:r>
      <w:r w:rsidR="008B4650" w:rsidRPr="0054269F">
        <w:rPr>
          <w:rFonts w:ascii="Arial" w:hAnsi="Arial" w:cs="Arial"/>
          <w:sz w:val="20"/>
          <w:szCs w:val="20"/>
        </w:rPr>
        <w:t xml:space="preserve">r. </w:t>
      </w:r>
      <w:r w:rsidRPr="0054269F">
        <w:rPr>
          <w:rFonts w:ascii="Arial" w:hAnsi="Arial" w:cs="Arial"/>
          <w:sz w:val="20"/>
          <w:szCs w:val="20"/>
        </w:rPr>
        <w:t xml:space="preserve">przyniósł w porównaniu do listopada 2022 </w:t>
      </w:r>
      <w:r w:rsidR="008B4650" w:rsidRPr="0054269F">
        <w:rPr>
          <w:rFonts w:ascii="Arial" w:hAnsi="Arial" w:cs="Arial"/>
          <w:sz w:val="20"/>
          <w:szCs w:val="20"/>
        </w:rPr>
        <w:t xml:space="preserve">r. </w:t>
      </w:r>
      <w:r w:rsidRPr="0054269F">
        <w:rPr>
          <w:rFonts w:ascii="Arial" w:hAnsi="Arial" w:cs="Arial"/>
          <w:sz w:val="20"/>
          <w:szCs w:val="20"/>
        </w:rPr>
        <w:t xml:space="preserve">dalsze wzrosty i to niemal o 12 proc. </w:t>
      </w:r>
      <w:r w:rsidR="003002E8" w:rsidRPr="0054269F">
        <w:rPr>
          <w:rFonts w:ascii="Arial" w:hAnsi="Arial" w:cs="Arial"/>
          <w:sz w:val="20"/>
          <w:szCs w:val="20"/>
        </w:rPr>
        <w:t xml:space="preserve">– </w:t>
      </w:r>
      <w:r w:rsidR="00484EEB" w:rsidRPr="0054269F">
        <w:rPr>
          <w:rFonts w:ascii="Arial" w:hAnsi="Arial" w:cs="Arial"/>
          <w:sz w:val="20"/>
          <w:szCs w:val="20"/>
        </w:rPr>
        <w:t>2023 rok był dla Północnej owocny</w:t>
      </w:r>
      <w:r w:rsidR="003002E8" w:rsidRPr="0054269F">
        <w:rPr>
          <w:rFonts w:ascii="Arial" w:hAnsi="Arial" w:cs="Arial"/>
          <w:sz w:val="20"/>
          <w:szCs w:val="20"/>
        </w:rPr>
        <w:t>. Co więcej, w listopadzie wzrost obrotów przewyższał znacznie inflację, która osiągnęła wówczas poziom 6,6</w:t>
      </w:r>
      <w:r w:rsidR="00F41D75">
        <w:rPr>
          <w:rFonts w:ascii="Arial" w:hAnsi="Arial" w:cs="Arial"/>
          <w:sz w:val="20"/>
          <w:szCs w:val="20"/>
        </w:rPr>
        <w:t xml:space="preserve"> proc.,</w:t>
      </w:r>
      <w:r w:rsidR="003002E8" w:rsidRPr="0054269F">
        <w:rPr>
          <w:rFonts w:ascii="Arial" w:hAnsi="Arial" w:cs="Arial"/>
          <w:sz w:val="20"/>
          <w:szCs w:val="20"/>
        </w:rPr>
        <w:t xml:space="preserve"> co oznacza stabilny, mocny wzrost organiczny. </w:t>
      </w:r>
      <w:r w:rsidR="00521BBB" w:rsidRPr="0054269F">
        <w:rPr>
          <w:rFonts w:ascii="Arial" w:hAnsi="Arial" w:cs="Arial"/>
          <w:sz w:val="20"/>
          <w:szCs w:val="20"/>
        </w:rPr>
        <w:t>Jest to</w:t>
      </w:r>
      <w:r w:rsidR="00AE1E69" w:rsidRPr="0054269F">
        <w:rPr>
          <w:rFonts w:ascii="Arial" w:hAnsi="Arial" w:cs="Arial"/>
          <w:sz w:val="20"/>
          <w:szCs w:val="20"/>
        </w:rPr>
        <w:t xml:space="preserve"> dobrą prognozą dla obiektu</w:t>
      </w:r>
      <w:r w:rsidRPr="0054269F">
        <w:rPr>
          <w:rFonts w:ascii="Arial" w:hAnsi="Arial" w:cs="Arial"/>
          <w:sz w:val="20"/>
          <w:szCs w:val="20"/>
        </w:rPr>
        <w:t xml:space="preserve"> – </w:t>
      </w:r>
      <w:r w:rsidRPr="0054269F">
        <w:rPr>
          <w:rFonts w:ascii="Arial" w:hAnsi="Arial" w:cs="Arial"/>
          <w:b/>
          <w:bCs/>
          <w:sz w:val="20"/>
          <w:szCs w:val="20"/>
        </w:rPr>
        <w:t xml:space="preserve">mówi Roman Bugajczyk, Head of Retail in Poland GTC SA.  </w:t>
      </w:r>
    </w:p>
    <w:p w14:paraId="10054FC1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D1621A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 xml:space="preserve">– Analizując wyniki, widzimy wyraźnie, że Północna to wciąż zyskująca na popularności destynacja zakupowa w Warszawie, zwłaszcza wśród rodzin z dziećmi. Z kolei dla mieszkańców Białołęki to już centrum nr 1. na codzienne zakupy, jak również na modowy shopping, czemu sprzyja zarówno mocny operator spożywczy Carrefour, kompaktowy i nowoczesny handlowo-rozrywkowy tenant-mix z multipleksem, jak również bogata oferta modowo-lifestylowa oparta na topowych brandach sieciowych – mówi. </w:t>
      </w:r>
    </w:p>
    <w:p w14:paraId="19AD41C2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C07FCD" w14:textId="5CF7B79F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 xml:space="preserve">To miało wpływ na frekwencję. </w:t>
      </w:r>
      <w:r w:rsidR="008454E3" w:rsidRPr="0054269F">
        <w:rPr>
          <w:rFonts w:ascii="Arial" w:hAnsi="Arial" w:cs="Arial"/>
          <w:sz w:val="20"/>
          <w:szCs w:val="20"/>
        </w:rPr>
        <w:t>W</w:t>
      </w:r>
      <w:r w:rsidRPr="0054269F">
        <w:rPr>
          <w:rFonts w:ascii="Arial" w:hAnsi="Arial" w:cs="Arial"/>
          <w:sz w:val="20"/>
          <w:szCs w:val="20"/>
        </w:rPr>
        <w:t xml:space="preserve"> 2023 </w:t>
      </w:r>
      <w:r w:rsidR="008B4650" w:rsidRPr="0054269F">
        <w:rPr>
          <w:rFonts w:ascii="Arial" w:hAnsi="Arial" w:cs="Arial"/>
          <w:sz w:val="20"/>
          <w:szCs w:val="20"/>
        </w:rPr>
        <w:t>r.</w:t>
      </w:r>
      <w:r w:rsidRPr="0054269F">
        <w:rPr>
          <w:rFonts w:ascii="Arial" w:hAnsi="Arial" w:cs="Arial"/>
          <w:sz w:val="20"/>
          <w:szCs w:val="20"/>
        </w:rPr>
        <w:t xml:space="preserve"> w stosunku do 2022 </w:t>
      </w:r>
      <w:r w:rsidR="008B4650" w:rsidRPr="0054269F">
        <w:rPr>
          <w:rFonts w:ascii="Arial" w:hAnsi="Arial" w:cs="Arial"/>
          <w:sz w:val="20"/>
          <w:szCs w:val="20"/>
        </w:rPr>
        <w:t>r.</w:t>
      </w:r>
      <w:r w:rsidRPr="0054269F">
        <w:rPr>
          <w:rFonts w:ascii="Arial" w:hAnsi="Arial" w:cs="Arial"/>
          <w:sz w:val="20"/>
          <w:szCs w:val="20"/>
        </w:rPr>
        <w:t xml:space="preserve"> footfall Północnej wzrósł o ponad 4,2 proc. Zdaniem przedstawicieli obiektu, to zasługa 3 czynników: popularności obiektu i jego oferty handlowo-rozrywkowej, intensywnego kalendarza wydarzeń, jak również dynamicznego przyrostu ludności Białołęki – stołecznej dzielnicy, w której obiekt się znajduje. Zaledwie w ciągu ostatnich 2 lat ta część Warszawy zyskała kilkadziesiąt tysięcy nowych mieszkańców i liczy obecnie ponad 153 tys. mieszkańców.  </w:t>
      </w:r>
    </w:p>
    <w:p w14:paraId="41F3AA86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E1A25C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 xml:space="preserve">– Północna ulokowana jest w dzielnicy, która nie tylko wyróżnia się najszybszym przyrostem ludności w Warszawie, ale przede wszystkim liczbą planowanych i teraz realizowanych inwestycji. Tylko w ciągu 3 lat władze Białołęki wydały ponad 1600 różnych pozwoleń na budowę, z czego znaczna część dotyczyła mieszkalnictwa. Ponadto obiekt jest coraz lepiej skomunikowany, co jest zasługą dużych miejskich realizacji, np. w zajezdnię tramwajową Annopol czy tramwaj na „Zieloną Białołękę”. Planowana jest także stacja metra i to tuż przy Północnej, co znacząco wpłynie na dalszy rozwój footfallu i naszego rynku – dodaje. </w:t>
      </w:r>
    </w:p>
    <w:p w14:paraId="5A1E686E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9928F7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269F">
        <w:rPr>
          <w:rFonts w:ascii="Arial" w:hAnsi="Arial" w:cs="Arial"/>
          <w:b/>
          <w:bCs/>
          <w:sz w:val="20"/>
          <w:szCs w:val="20"/>
        </w:rPr>
        <w:t>Oferta Północnej zyskuje, rynek też</w:t>
      </w:r>
    </w:p>
    <w:p w14:paraId="1DC55FE1" w14:textId="09853B5E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>Sama oferta handlowo-rozrywkowa Północnej, składająca się dziś niemal z 200 najemców, również jest jednym najmocniejszych atutów, który procentuje w wynikach.  Tylko w 2023</w:t>
      </w:r>
      <w:r w:rsidR="00E03FBF" w:rsidRPr="0054269F">
        <w:rPr>
          <w:rFonts w:ascii="Arial" w:hAnsi="Arial" w:cs="Arial"/>
          <w:sz w:val="20"/>
          <w:szCs w:val="20"/>
        </w:rPr>
        <w:t xml:space="preserve"> r.</w:t>
      </w:r>
      <w:r w:rsidRPr="0054269F">
        <w:rPr>
          <w:rFonts w:ascii="Arial" w:hAnsi="Arial" w:cs="Arial"/>
          <w:sz w:val="20"/>
          <w:szCs w:val="20"/>
        </w:rPr>
        <w:t xml:space="preserve"> galeria wzbogaciła się ona o 7 nowych marek, które zajęły łącznie niemal 2,7 tys. m kw. powierzchni handlowej. Tenant-mix zyskał m.in. popularną sieć TEDi, sklep dla dzieci Coccodrillo czy pub sportowy The Beer Store. </w:t>
      </w:r>
    </w:p>
    <w:p w14:paraId="37FBED8A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D4A6D1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>Ponadto dzięki przedłużeniu umów z 22 wieloletnimi partnerami, dział leasingu GTC SA zabezpieczył też w minionym roku niemal 7 tys. m kw. powierzchni. W gronie tym znalazły się tak kluczowe dla galerii brandy jak m.in. Media Expert, TK Maxx, Douglas, Sephora, Deichmann, TOUS, home&amp;you, LEE/Wrangler, Sizeer, Flying Tiger Copenhagen czy Diverse.</w:t>
      </w:r>
    </w:p>
    <w:p w14:paraId="3710780B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DA08DA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>– Najemcy postrzegają nas jako atrakcyjnego i stabilnego partnera biznesowego, w którego powierzchnię warto inwestować. Widać to w otwarciach, ale także w decyzjach marek, które funkcjonują w Północnej w większości od samego początku.  Sprzyjają temu: wyniki, atrakcyjny rynek konsumencki, a także pozycja lidera w północnej części Warszawy, umocniona w 2023 roku dalszym rozwojem obiektu – wylicza Roman Bugajczyk.</w:t>
      </w:r>
    </w:p>
    <w:p w14:paraId="00925849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5187C5" w14:textId="500973F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 xml:space="preserve">Ale w 2023 roku zyskała nie tylko oferta handlowa, także rozrywkowa. Oprócz 11-salowego kina Cinema City i 28 lokali gastronomicznych, w 2023 </w:t>
      </w:r>
      <w:r w:rsidR="00E03FBF" w:rsidRPr="0054269F">
        <w:rPr>
          <w:rFonts w:ascii="Arial" w:hAnsi="Arial" w:cs="Arial"/>
          <w:sz w:val="20"/>
          <w:szCs w:val="20"/>
        </w:rPr>
        <w:t>r.</w:t>
      </w:r>
      <w:r w:rsidRPr="0054269F">
        <w:rPr>
          <w:rFonts w:ascii="Arial" w:hAnsi="Arial" w:cs="Arial"/>
          <w:sz w:val="20"/>
          <w:szCs w:val="20"/>
        </w:rPr>
        <w:t xml:space="preserve"> w centrum prężenie działał też unikalny, mający aż 5 tys. m kw. ogród na dachu, który odwiedziło ponad pół miliona osób, co było rekordem. Zielona, proekologiczna przestrzeń stała się w 2023 r. nie tylko miejscem popularnym wśród warszawiaków, ale także zyskała charakter atrakcji turystycznej, dołączając do grona znanych tego typu miejsc w stolicy. </w:t>
      </w:r>
    </w:p>
    <w:p w14:paraId="17D23A3B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10A81C" w14:textId="03E6A933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 xml:space="preserve">– Rozwój oferty i atrakcji w 2023 r. znacząco wpłyną na nasz rynek, który liczy sobie już ponad 1 mln potencjalnych klientów. Umacniamy się na Białołęce, ale także na Pradze Północ i Południe oraz Targówku, skąd napływa do nas coraz więcej klientów. Mocniejsi jesteśmy też w miastach ościennych. Już niemal 14% naszych klientów jest spoza Warszawy z takich miejscowości jak Jabłonna, Legionowo czy Nowy Dwór Mazowiecki. To pokazuje ogromny potencjał obiektu, który nadal </w:t>
      </w:r>
      <w:r w:rsidR="00AE1E69" w:rsidRPr="0054269F">
        <w:rPr>
          <w:rFonts w:ascii="Arial" w:hAnsi="Arial" w:cs="Arial"/>
          <w:sz w:val="20"/>
          <w:szCs w:val="20"/>
        </w:rPr>
        <w:t>chcemy</w:t>
      </w:r>
      <w:r w:rsidRPr="0054269F">
        <w:rPr>
          <w:rFonts w:ascii="Arial" w:hAnsi="Arial" w:cs="Arial"/>
          <w:sz w:val="20"/>
          <w:szCs w:val="20"/>
        </w:rPr>
        <w:t xml:space="preserve"> rozwijać – mówi.</w:t>
      </w:r>
    </w:p>
    <w:p w14:paraId="550E24FB" w14:textId="77777777" w:rsidR="0047034E" w:rsidRPr="0054269F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AD9B82" w14:textId="51F7A3C2" w:rsidR="0047034E" w:rsidRPr="004902CA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269F">
        <w:rPr>
          <w:rFonts w:ascii="Arial" w:hAnsi="Arial" w:cs="Arial"/>
          <w:sz w:val="20"/>
          <w:szCs w:val="20"/>
        </w:rPr>
        <w:t>Nic więc dziwnego, że obiekt ma ambitne plany. – W 2024 roku dalej będziemy rozwijać ofertę Północnej, przede wszystkim o duże międzynarodowe marki z segmentów mody czy home&amp;deco. Umowy z najemcami są właśnie finalizowane lub w zaawansowanych rozmowach, co pozwala patrzeć z ogromnym optymizmem w przyszłość</w:t>
      </w:r>
      <w:r w:rsidR="00625FA3" w:rsidRPr="0054269F">
        <w:rPr>
          <w:rFonts w:ascii="Arial" w:hAnsi="Arial" w:cs="Arial"/>
          <w:sz w:val="20"/>
          <w:szCs w:val="20"/>
        </w:rPr>
        <w:t xml:space="preserve">, szczególnie, że już w pierwszych miesiącach roku </w:t>
      </w:r>
      <w:r w:rsidR="00F10D86" w:rsidRPr="0054269F">
        <w:rPr>
          <w:rFonts w:ascii="Arial" w:hAnsi="Arial" w:cs="Arial"/>
          <w:sz w:val="20"/>
          <w:szCs w:val="20"/>
        </w:rPr>
        <w:t>zadebiutuje u nas topowa sieć z segmentu home&amp;deco</w:t>
      </w:r>
      <w:r w:rsidR="00780931" w:rsidRPr="0054269F">
        <w:rPr>
          <w:rFonts w:ascii="Arial" w:hAnsi="Arial" w:cs="Arial"/>
          <w:sz w:val="20"/>
          <w:szCs w:val="20"/>
        </w:rPr>
        <w:t xml:space="preserve"> w lokalu o powierzchni blisko 1</w:t>
      </w:r>
      <w:r w:rsidR="0054269F">
        <w:rPr>
          <w:rFonts w:ascii="Arial" w:hAnsi="Arial" w:cs="Arial"/>
          <w:sz w:val="20"/>
          <w:szCs w:val="20"/>
        </w:rPr>
        <w:t>,5 tys.</w:t>
      </w:r>
      <w:r w:rsidR="00780931" w:rsidRPr="0054269F">
        <w:rPr>
          <w:rFonts w:ascii="Arial" w:hAnsi="Arial" w:cs="Arial"/>
          <w:sz w:val="20"/>
          <w:szCs w:val="20"/>
        </w:rPr>
        <w:t xml:space="preserve"> m kw</w:t>
      </w:r>
      <w:r w:rsidR="00F10D86" w:rsidRPr="0054269F">
        <w:rPr>
          <w:rFonts w:ascii="Arial" w:hAnsi="Arial" w:cs="Arial"/>
          <w:sz w:val="20"/>
          <w:szCs w:val="20"/>
        </w:rPr>
        <w:t xml:space="preserve">. </w:t>
      </w:r>
      <w:r w:rsidRPr="0054269F">
        <w:rPr>
          <w:rFonts w:ascii="Arial" w:hAnsi="Arial" w:cs="Arial"/>
          <w:sz w:val="20"/>
          <w:szCs w:val="20"/>
        </w:rPr>
        <w:t xml:space="preserve"> Kolejny obszar, którym z pewnością się zajmiemy to leisure&amp;activity. Wiązać będzie się on z rozwojem m.in. ogrodów na dachu o nowe atrakcje i inwestycje. Wiele nadziei pokładamy także w planowanym metrze – zapowiada Roman Bugajczyk.</w:t>
      </w:r>
      <w:r w:rsidRPr="004902CA">
        <w:rPr>
          <w:rFonts w:ascii="Arial" w:hAnsi="Arial" w:cs="Arial"/>
          <w:sz w:val="20"/>
          <w:szCs w:val="20"/>
        </w:rPr>
        <w:t xml:space="preserve"> </w:t>
      </w:r>
    </w:p>
    <w:p w14:paraId="11339A67" w14:textId="77777777" w:rsidR="0047034E" w:rsidRPr="004902CA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B72289" w14:textId="77777777" w:rsidR="0047034E" w:rsidRPr="004902CA" w:rsidRDefault="0047034E" w:rsidP="0047034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441A25" w14:textId="77777777" w:rsidR="00BB3F19" w:rsidRPr="00C05512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6FABC200" w14:textId="77777777" w:rsidR="00BB3F19" w:rsidRPr="00FC2B63" w:rsidRDefault="00BB3F19" w:rsidP="0006649C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2B3E5B8F" w14:textId="77777777" w:rsidR="00BB3F19" w:rsidRPr="00FC2B63" w:rsidRDefault="00BB3F19" w:rsidP="00BB3F19">
      <w:pPr>
        <w:pStyle w:val="Bezodstpw"/>
        <w:rPr>
          <w:rFonts w:ascii="Arial" w:hAnsi="Arial" w:cs="Arial"/>
          <w:sz w:val="20"/>
          <w:szCs w:val="20"/>
        </w:rPr>
      </w:pPr>
    </w:p>
    <w:p w14:paraId="5A74904A" w14:textId="77777777" w:rsidR="0092160C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>
        <w:rPr>
          <w:rFonts w:ascii="Arial" w:hAnsi="Arial" w:cs="Arial"/>
          <w:sz w:val="14"/>
          <w:szCs w:val="14"/>
          <w:lang w:eastAsia="pl-PL"/>
        </w:rPr>
        <w:t>4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196FF" w14:textId="77777777" w:rsidR="001431E5" w:rsidRDefault="001431E5">
      <w:pPr>
        <w:spacing w:after="0" w:line="240" w:lineRule="auto"/>
      </w:pPr>
      <w:r>
        <w:separator/>
      </w:r>
    </w:p>
  </w:endnote>
  <w:endnote w:type="continuationSeparator" w:id="0">
    <w:p w14:paraId="4623D434" w14:textId="77777777" w:rsidR="001431E5" w:rsidRDefault="00143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EC4FB" w14:textId="77777777" w:rsidR="001431E5" w:rsidRDefault="001431E5">
      <w:pPr>
        <w:spacing w:after="0" w:line="240" w:lineRule="auto"/>
      </w:pPr>
      <w:r>
        <w:separator/>
      </w:r>
    </w:p>
  </w:footnote>
  <w:footnote w:type="continuationSeparator" w:id="0">
    <w:p w14:paraId="496849EB" w14:textId="77777777" w:rsidR="001431E5" w:rsidRDefault="00143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3E64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1E5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5AB7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02E8"/>
    <w:rsid w:val="00301158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A344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F8B"/>
    <w:rsid w:val="0046707B"/>
    <w:rsid w:val="004677BE"/>
    <w:rsid w:val="0047034E"/>
    <w:rsid w:val="00471402"/>
    <w:rsid w:val="0047477D"/>
    <w:rsid w:val="00475426"/>
    <w:rsid w:val="004754FA"/>
    <w:rsid w:val="00480FB2"/>
    <w:rsid w:val="00484EEB"/>
    <w:rsid w:val="00490E36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1BBB"/>
    <w:rsid w:val="00522612"/>
    <w:rsid w:val="00531A79"/>
    <w:rsid w:val="00532D47"/>
    <w:rsid w:val="00535C27"/>
    <w:rsid w:val="0053739A"/>
    <w:rsid w:val="005403D5"/>
    <w:rsid w:val="00540722"/>
    <w:rsid w:val="005409F6"/>
    <w:rsid w:val="0054269F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2AB4"/>
    <w:rsid w:val="006139A7"/>
    <w:rsid w:val="00613DBB"/>
    <w:rsid w:val="006149A4"/>
    <w:rsid w:val="006214D0"/>
    <w:rsid w:val="00621F55"/>
    <w:rsid w:val="00623118"/>
    <w:rsid w:val="006235EA"/>
    <w:rsid w:val="006238D2"/>
    <w:rsid w:val="00625FA3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2500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0931"/>
    <w:rsid w:val="007824E2"/>
    <w:rsid w:val="00782C9D"/>
    <w:rsid w:val="00784AD3"/>
    <w:rsid w:val="00785E52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4E3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3563F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1E69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17C27"/>
    <w:rsid w:val="00B223D5"/>
    <w:rsid w:val="00B3280B"/>
    <w:rsid w:val="00B32A17"/>
    <w:rsid w:val="00B42EBE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5F60"/>
    <w:rsid w:val="00C04F67"/>
    <w:rsid w:val="00C05512"/>
    <w:rsid w:val="00C06B76"/>
    <w:rsid w:val="00C116D5"/>
    <w:rsid w:val="00C1437E"/>
    <w:rsid w:val="00C15034"/>
    <w:rsid w:val="00C16E51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72DD"/>
    <w:rsid w:val="00EF3354"/>
    <w:rsid w:val="00F06208"/>
    <w:rsid w:val="00F06E8C"/>
    <w:rsid w:val="00F1085E"/>
    <w:rsid w:val="00F10D86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1D75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4FA6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7</TotalTime>
  <Pages>2</Pages>
  <Words>1164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2024-01-05T08:11:00Z</dcterms:created>
  <dcterms:modified xsi:type="dcterms:W3CDTF">2024-01-08T10:13:00Z</dcterms:modified>
</cp:coreProperties>
</file>