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0E27F3E7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2E0772">
        <w:rPr>
          <w:rFonts w:ascii="Arial" w:hAnsi="Arial" w:cs="Arial"/>
          <w:b/>
          <w:bCs/>
          <w:sz w:val="20"/>
          <w:szCs w:val="20"/>
        </w:rPr>
        <w:t>16</w:t>
      </w:r>
      <w:r w:rsidR="00092BE6">
        <w:rPr>
          <w:rFonts w:ascii="Arial" w:hAnsi="Arial" w:cs="Arial"/>
          <w:b/>
          <w:bCs/>
          <w:sz w:val="20"/>
          <w:szCs w:val="20"/>
        </w:rPr>
        <w:t>-</w:t>
      </w:r>
      <w:r w:rsidR="00A31BB7">
        <w:rPr>
          <w:rFonts w:ascii="Arial" w:hAnsi="Arial" w:cs="Arial"/>
          <w:b/>
          <w:bCs/>
          <w:sz w:val="20"/>
          <w:szCs w:val="20"/>
        </w:rPr>
        <w:t>10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0EAEDF80" w14:textId="77777777" w:rsidR="00745D0B" w:rsidRDefault="00745D0B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33AD0189" w14:textId="77777777" w:rsidR="00745D0B" w:rsidRDefault="00745D0B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7B77C30D" w14:textId="6D95C4F9" w:rsidR="0092160C" w:rsidRPr="008D2973" w:rsidRDefault="0092160C" w:rsidP="008D2973">
      <w:pPr>
        <w:pStyle w:val="Bezodstpw"/>
        <w:jc w:val="center"/>
        <w:rPr>
          <w:rFonts w:ascii="Arial" w:hAnsi="Arial" w:cs="Arial"/>
          <w:b/>
          <w:bCs/>
        </w:rPr>
      </w:pPr>
      <w:r w:rsidRPr="008D2973">
        <w:rPr>
          <w:rFonts w:ascii="Arial" w:hAnsi="Arial" w:cs="Arial"/>
          <w:b/>
          <w:bCs/>
        </w:rPr>
        <w:t xml:space="preserve">Dwucyfrowy wzrost liczby klientów w </w:t>
      </w:r>
      <w:r w:rsidR="008D2973" w:rsidRPr="008D2973">
        <w:rPr>
          <w:rFonts w:ascii="Arial" w:hAnsi="Arial" w:cs="Arial"/>
          <w:b/>
          <w:bCs/>
        </w:rPr>
        <w:t xml:space="preserve">Galerii </w:t>
      </w:r>
      <w:r w:rsidRPr="008D2973">
        <w:rPr>
          <w:rFonts w:ascii="Arial" w:hAnsi="Arial" w:cs="Arial"/>
          <w:b/>
          <w:bCs/>
        </w:rPr>
        <w:t>Północnej</w:t>
      </w:r>
    </w:p>
    <w:p w14:paraId="3C82D0E5" w14:textId="77777777" w:rsidR="0092160C" w:rsidRPr="008D2973" w:rsidRDefault="0092160C" w:rsidP="0092160C">
      <w:pPr>
        <w:pStyle w:val="Bezodstpw"/>
        <w:rPr>
          <w:rFonts w:ascii="Arial" w:hAnsi="Arial" w:cs="Arial"/>
          <w:sz w:val="20"/>
          <w:szCs w:val="20"/>
        </w:rPr>
      </w:pPr>
    </w:p>
    <w:p w14:paraId="0194AEBF" w14:textId="77777777" w:rsidR="0092160C" w:rsidRPr="008D2973" w:rsidRDefault="0092160C" w:rsidP="0092160C">
      <w:pPr>
        <w:pStyle w:val="Bezodstpw"/>
        <w:rPr>
          <w:rFonts w:ascii="Arial" w:hAnsi="Arial" w:cs="Arial"/>
          <w:sz w:val="20"/>
          <w:szCs w:val="20"/>
        </w:rPr>
      </w:pPr>
    </w:p>
    <w:p w14:paraId="400088CA" w14:textId="75D5876B" w:rsidR="0092160C" w:rsidRPr="008D2973" w:rsidRDefault="0092160C" w:rsidP="008D29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D2973">
        <w:rPr>
          <w:rFonts w:ascii="Arial" w:hAnsi="Arial" w:cs="Arial"/>
          <w:sz w:val="20"/>
          <w:szCs w:val="20"/>
        </w:rPr>
        <w:t>Galeria Północna na mocnym plusie. Tylko we wrześniu, rok do roku, warszawski obiekt odwiedziło aż o 8,36% więcej klientów. Co więcej, należąca do GTC S.A. galeria zanotowała także znaczący, bo aż 10,86% wzrost frekwencji w porównaniu do września 2019 roku.</w:t>
      </w:r>
    </w:p>
    <w:p w14:paraId="6F8C7816" w14:textId="77777777" w:rsidR="0092160C" w:rsidRPr="008D2973" w:rsidRDefault="0092160C" w:rsidP="008D29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AE7CCF7" w14:textId="7DA9FCD7" w:rsidR="0092160C" w:rsidRPr="008D2973" w:rsidRDefault="0092160C" w:rsidP="008D297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8D2973">
        <w:rPr>
          <w:rFonts w:ascii="Arial" w:hAnsi="Arial" w:cs="Arial"/>
          <w:sz w:val="20"/>
          <w:szCs w:val="20"/>
        </w:rPr>
        <w:t xml:space="preserve">– Po niezwykle udanych wakacjach, kiedy to rok do roku zanotowaliśmy footfall na średnim poziomie </w:t>
      </w:r>
      <w:r w:rsidR="009C0BEC">
        <w:rPr>
          <w:rFonts w:ascii="Arial" w:hAnsi="Arial" w:cs="Arial"/>
          <w:sz w:val="20"/>
          <w:szCs w:val="20"/>
        </w:rPr>
        <w:t>6,48</w:t>
      </w:r>
      <w:r w:rsidRPr="008D2973">
        <w:rPr>
          <w:rFonts w:ascii="Arial" w:hAnsi="Arial" w:cs="Arial"/>
          <w:sz w:val="20"/>
          <w:szCs w:val="20"/>
        </w:rPr>
        <w:t>%, wchodzimy w nowy sezon z jeszcze lepszymi wynikami i to nie tylko względem 2022 roku, ale także w stosunku do września 2019, co jest dużym</w:t>
      </w:r>
      <w:r w:rsidR="00372762">
        <w:rPr>
          <w:rFonts w:ascii="Arial" w:hAnsi="Arial" w:cs="Arial"/>
          <w:sz w:val="20"/>
          <w:szCs w:val="20"/>
        </w:rPr>
        <w:t>, wyróżniającym nas na rynku,</w:t>
      </w:r>
      <w:r w:rsidRPr="008D2973">
        <w:rPr>
          <w:rFonts w:ascii="Arial" w:hAnsi="Arial" w:cs="Arial"/>
          <w:sz w:val="20"/>
          <w:szCs w:val="20"/>
        </w:rPr>
        <w:t xml:space="preserve"> sukcesem obiektu – </w:t>
      </w:r>
      <w:r w:rsidRPr="008D2973">
        <w:rPr>
          <w:rFonts w:ascii="Arial" w:hAnsi="Arial" w:cs="Arial"/>
          <w:b/>
          <w:bCs/>
          <w:sz w:val="20"/>
          <w:szCs w:val="20"/>
        </w:rPr>
        <w:t>mówi Roman Bugajczyk, Head of Retail in Poland w GTC SA.</w:t>
      </w:r>
    </w:p>
    <w:p w14:paraId="29AF0C01" w14:textId="77777777" w:rsidR="0092160C" w:rsidRPr="008D2973" w:rsidRDefault="0092160C" w:rsidP="008D29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B6C47F9" w14:textId="5D350AE8" w:rsidR="0092160C" w:rsidRPr="008D2973" w:rsidRDefault="0092160C" w:rsidP="008D29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D2973">
        <w:rPr>
          <w:rFonts w:ascii="Arial" w:hAnsi="Arial" w:cs="Arial"/>
          <w:sz w:val="20"/>
          <w:szCs w:val="20"/>
        </w:rPr>
        <w:t xml:space="preserve">– Takie wyniki pokazują nie tylko wyraźnie rosnącą popularność Północnej </w:t>
      </w:r>
      <w:r w:rsidR="00372762">
        <w:rPr>
          <w:rFonts w:ascii="Arial" w:hAnsi="Arial" w:cs="Arial"/>
          <w:sz w:val="20"/>
          <w:szCs w:val="20"/>
        </w:rPr>
        <w:t>wśród kupujących</w:t>
      </w:r>
      <w:r w:rsidRPr="008D2973">
        <w:rPr>
          <w:rFonts w:ascii="Arial" w:hAnsi="Arial" w:cs="Arial"/>
          <w:sz w:val="20"/>
          <w:szCs w:val="20"/>
        </w:rPr>
        <w:t xml:space="preserve">, ale są też dowodem na to, że nieustannie rozwijamy się w zgodzie z oczekiwaniami klienta i lokalnego rynku. W efekcie, stale pozyskujemy nowych klientów z całego catchmentu galerii, ale także zwiększamy liczbę lojalnych </w:t>
      </w:r>
      <w:r w:rsidR="00372762">
        <w:rPr>
          <w:rFonts w:ascii="Arial" w:hAnsi="Arial" w:cs="Arial"/>
          <w:sz w:val="20"/>
          <w:szCs w:val="20"/>
        </w:rPr>
        <w:t>konsumentów</w:t>
      </w:r>
      <w:r w:rsidRPr="008D2973">
        <w:rPr>
          <w:rFonts w:ascii="Arial" w:hAnsi="Arial" w:cs="Arial"/>
          <w:sz w:val="20"/>
          <w:szCs w:val="20"/>
        </w:rPr>
        <w:t xml:space="preserve"> – mówi.</w:t>
      </w:r>
    </w:p>
    <w:p w14:paraId="4411EB7B" w14:textId="77777777" w:rsidR="0092160C" w:rsidRPr="008D2973" w:rsidRDefault="0092160C" w:rsidP="008D29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E83A738" w14:textId="70284278" w:rsidR="0092160C" w:rsidRPr="008D2973" w:rsidRDefault="0092160C" w:rsidP="008D29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D2973">
        <w:rPr>
          <w:rFonts w:ascii="Arial" w:hAnsi="Arial" w:cs="Arial"/>
          <w:sz w:val="20"/>
          <w:szCs w:val="20"/>
        </w:rPr>
        <w:t xml:space="preserve">Zdaniem Romana Bugajczyka wpływ na notowane wyniki ma kilka czynników. Kluczowym jest </w:t>
      </w:r>
      <w:r w:rsidR="008D2973">
        <w:rPr>
          <w:rFonts w:ascii="Arial" w:hAnsi="Arial" w:cs="Arial"/>
          <w:sz w:val="20"/>
          <w:szCs w:val="20"/>
        </w:rPr>
        <w:t>tenant-mix</w:t>
      </w:r>
      <w:r w:rsidRPr="008D2973">
        <w:rPr>
          <w:rFonts w:ascii="Arial" w:hAnsi="Arial" w:cs="Arial"/>
          <w:sz w:val="20"/>
          <w:szCs w:val="20"/>
        </w:rPr>
        <w:t xml:space="preserve">. – Za sprawą przemyślanej strategii leasingowej, rozwijamy nowoczesną, prorodzinną i kompaktową ofertę, którą pozytywnie ocenia </w:t>
      </w:r>
      <w:r w:rsidR="00372762">
        <w:rPr>
          <w:rFonts w:ascii="Arial" w:hAnsi="Arial" w:cs="Arial"/>
          <w:sz w:val="20"/>
          <w:szCs w:val="20"/>
        </w:rPr>
        <w:t>już</w:t>
      </w:r>
      <w:r w:rsidRPr="008D2973">
        <w:rPr>
          <w:rFonts w:ascii="Arial" w:hAnsi="Arial" w:cs="Arial"/>
          <w:sz w:val="20"/>
          <w:szCs w:val="20"/>
        </w:rPr>
        <w:t xml:space="preserve"> 95% kupujących w Północnej. To, w połączeniu z obecnością popularnych marek modowych i lifestylowych, a także szeroką propozycją rozrywkową, generuje dziś ruch – mówi.</w:t>
      </w:r>
    </w:p>
    <w:p w14:paraId="1BB311DF" w14:textId="77777777" w:rsidR="0092160C" w:rsidRPr="008D2973" w:rsidRDefault="0092160C" w:rsidP="008D29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FC15BAC" w14:textId="77777777" w:rsidR="0092160C" w:rsidRPr="008D2973" w:rsidRDefault="0092160C" w:rsidP="008D29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D2973">
        <w:rPr>
          <w:rFonts w:ascii="Arial" w:hAnsi="Arial" w:cs="Arial"/>
          <w:sz w:val="20"/>
          <w:szCs w:val="20"/>
        </w:rPr>
        <w:t>– Przyciąga także wielofunkcyjność obiektu. Północna to miejsce, w którym można zrobić zarówno duży, modowy shopping, jak również codzienne zakupy, czemu sprzyja oferta chociażby Carrefour. To także przestrzeń, w której można spędzić czas wolny np. w kinie, w restauracjach czy w unikalnych ogrodach na dachu, a nawet zorganizować spotkanie biznesowe w strefie CoWork Cafe. To zróżnicowanie funkcji czyni obiekt atrakcyjnym – dodaje.</w:t>
      </w:r>
    </w:p>
    <w:p w14:paraId="77E6B025" w14:textId="77777777" w:rsidR="0092160C" w:rsidRPr="008D2973" w:rsidRDefault="0092160C" w:rsidP="008D29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8007366" w14:textId="5565D8E1" w:rsidR="0092160C" w:rsidRPr="008D2973" w:rsidRDefault="0092160C" w:rsidP="008D29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D2973">
        <w:rPr>
          <w:rFonts w:ascii="Arial" w:hAnsi="Arial" w:cs="Arial"/>
          <w:sz w:val="20"/>
          <w:szCs w:val="20"/>
        </w:rPr>
        <w:t>Na ruch w Północnej wpływają także inne czynniki. Jednym z nich jest rozwój Białołęki</w:t>
      </w:r>
      <w:r w:rsidR="00372762">
        <w:rPr>
          <w:rFonts w:ascii="Arial" w:hAnsi="Arial" w:cs="Arial"/>
          <w:sz w:val="20"/>
          <w:szCs w:val="20"/>
        </w:rPr>
        <w:t>. D</w:t>
      </w:r>
      <w:r w:rsidRPr="008D2973">
        <w:rPr>
          <w:rFonts w:ascii="Arial" w:hAnsi="Arial" w:cs="Arial"/>
          <w:sz w:val="20"/>
          <w:szCs w:val="20"/>
        </w:rPr>
        <w:t xml:space="preserve">zielnica w ciągu ostatnich 2 lat zyskała ponad 21 tys. mieszkańców i </w:t>
      </w:r>
      <w:r w:rsidR="009727CD">
        <w:rPr>
          <w:rFonts w:ascii="Arial" w:hAnsi="Arial" w:cs="Arial"/>
          <w:sz w:val="20"/>
          <w:szCs w:val="20"/>
        </w:rPr>
        <w:t>obecnie</w:t>
      </w:r>
      <w:r w:rsidRPr="008D2973">
        <w:rPr>
          <w:rFonts w:ascii="Arial" w:hAnsi="Arial" w:cs="Arial"/>
          <w:sz w:val="20"/>
          <w:szCs w:val="20"/>
        </w:rPr>
        <w:t xml:space="preserve"> zamieszkuje ją już 153,1 tys. osób. </w:t>
      </w:r>
      <w:r w:rsidR="009727CD">
        <w:rPr>
          <w:rFonts w:ascii="Arial" w:hAnsi="Arial" w:cs="Arial"/>
          <w:sz w:val="20"/>
          <w:szCs w:val="20"/>
        </w:rPr>
        <w:t>Rozszerza się</w:t>
      </w:r>
      <w:r w:rsidRPr="008D2973">
        <w:rPr>
          <w:rFonts w:ascii="Arial" w:hAnsi="Arial" w:cs="Arial"/>
          <w:sz w:val="20"/>
          <w:szCs w:val="20"/>
        </w:rPr>
        <w:t xml:space="preserve"> także rynek Północnej. Ten obejmuje </w:t>
      </w:r>
      <w:r w:rsidR="002E0772">
        <w:rPr>
          <w:rFonts w:ascii="Arial" w:hAnsi="Arial" w:cs="Arial"/>
          <w:sz w:val="20"/>
          <w:szCs w:val="20"/>
        </w:rPr>
        <w:t>obecnie</w:t>
      </w:r>
      <w:r w:rsidRPr="008D2973">
        <w:rPr>
          <w:rFonts w:ascii="Arial" w:hAnsi="Arial" w:cs="Arial"/>
          <w:sz w:val="20"/>
          <w:szCs w:val="20"/>
        </w:rPr>
        <w:t xml:space="preserve"> nie tylko Białołękę, czyli trzecią pod względem liczby ludności dzielnicę Warszawy, ale także Pragę Północ i Południe, Targówek, jak również miejscowości przylegające do północnej części miasta, </w:t>
      </w:r>
      <w:r w:rsidR="009727CD">
        <w:rPr>
          <w:rFonts w:ascii="Arial" w:hAnsi="Arial" w:cs="Arial"/>
          <w:sz w:val="20"/>
          <w:szCs w:val="20"/>
        </w:rPr>
        <w:t>zamieszkałe przez</w:t>
      </w:r>
      <w:r w:rsidRPr="008D2973">
        <w:rPr>
          <w:rFonts w:ascii="Arial" w:hAnsi="Arial" w:cs="Arial"/>
          <w:sz w:val="20"/>
          <w:szCs w:val="20"/>
        </w:rPr>
        <w:t xml:space="preserve"> ponad </w:t>
      </w:r>
      <w:r w:rsidR="00372762">
        <w:rPr>
          <w:rFonts w:ascii="Arial" w:hAnsi="Arial" w:cs="Arial"/>
          <w:sz w:val="20"/>
          <w:szCs w:val="20"/>
        </w:rPr>
        <w:t>231</w:t>
      </w:r>
      <w:r w:rsidRPr="008D2973">
        <w:rPr>
          <w:rFonts w:ascii="Arial" w:hAnsi="Arial" w:cs="Arial"/>
          <w:sz w:val="20"/>
          <w:szCs w:val="20"/>
        </w:rPr>
        <w:t xml:space="preserve"> tys. osób. </w:t>
      </w:r>
    </w:p>
    <w:p w14:paraId="745808E9" w14:textId="77777777" w:rsidR="0092160C" w:rsidRPr="008D2973" w:rsidRDefault="0092160C" w:rsidP="008D29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B16063B" w14:textId="77777777" w:rsidR="009C0BEC" w:rsidRDefault="0092160C" w:rsidP="008D29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D2973">
        <w:rPr>
          <w:rFonts w:ascii="Arial" w:hAnsi="Arial" w:cs="Arial"/>
          <w:sz w:val="20"/>
          <w:szCs w:val="20"/>
        </w:rPr>
        <w:t>– Nasze otoczenie od wielu miesięcy odgrywa ważn</w:t>
      </w:r>
      <w:r w:rsidR="00372762">
        <w:rPr>
          <w:rFonts w:ascii="Arial" w:hAnsi="Arial" w:cs="Arial"/>
          <w:sz w:val="20"/>
          <w:szCs w:val="20"/>
        </w:rPr>
        <w:t>ą</w:t>
      </w:r>
      <w:r w:rsidRPr="008D2973">
        <w:rPr>
          <w:rFonts w:ascii="Arial" w:hAnsi="Arial" w:cs="Arial"/>
          <w:sz w:val="20"/>
          <w:szCs w:val="20"/>
        </w:rPr>
        <w:t xml:space="preserve"> rolę w tym, jak kształtuje się footfall, wpływając na dynamikę jego wzrostu.</w:t>
      </w:r>
      <w:r w:rsidR="009727CD">
        <w:rPr>
          <w:rFonts w:ascii="Arial" w:hAnsi="Arial" w:cs="Arial"/>
          <w:sz w:val="20"/>
          <w:szCs w:val="20"/>
        </w:rPr>
        <w:t xml:space="preserve"> To nas wyróżnia.</w:t>
      </w:r>
      <w:r w:rsidRPr="008D2973">
        <w:rPr>
          <w:rFonts w:ascii="Arial" w:hAnsi="Arial" w:cs="Arial"/>
          <w:sz w:val="20"/>
          <w:szCs w:val="20"/>
        </w:rPr>
        <w:t xml:space="preserve"> </w:t>
      </w:r>
      <w:r w:rsidR="009727CD">
        <w:rPr>
          <w:rFonts w:ascii="Arial" w:hAnsi="Arial" w:cs="Arial"/>
          <w:sz w:val="20"/>
          <w:szCs w:val="20"/>
        </w:rPr>
        <w:t>Obiekt, ulokowany jest bowiem w dzielnicy, która rośnie „od środka” zarówno pod względem liczby mieszkańców, jak również skali nowych inwestycji mieszkaniowych i miejskich</w:t>
      </w:r>
      <w:r w:rsidR="009C0BEC">
        <w:rPr>
          <w:rFonts w:ascii="Arial" w:hAnsi="Arial" w:cs="Arial"/>
          <w:sz w:val="20"/>
          <w:szCs w:val="20"/>
        </w:rPr>
        <w:t xml:space="preserve"> – mówi Roman Bugajczyk.</w:t>
      </w:r>
    </w:p>
    <w:p w14:paraId="0D2D98A1" w14:textId="77777777" w:rsidR="009C0BEC" w:rsidRDefault="009C0BEC" w:rsidP="008D29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5AD252" w14:textId="06649F04" w:rsidR="0092160C" w:rsidRPr="008D2973" w:rsidRDefault="009C0BEC" w:rsidP="008D29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D2973">
        <w:rPr>
          <w:rFonts w:ascii="Arial" w:hAnsi="Arial" w:cs="Arial"/>
          <w:sz w:val="20"/>
          <w:szCs w:val="20"/>
        </w:rPr>
        <w:t xml:space="preserve">– </w:t>
      </w:r>
      <w:r w:rsidR="009727CD">
        <w:rPr>
          <w:rFonts w:ascii="Arial" w:hAnsi="Arial" w:cs="Arial"/>
          <w:sz w:val="20"/>
          <w:szCs w:val="20"/>
        </w:rPr>
        <w:t xml:space="preserve">Co więcej, </w:t>
      </w:r>
      <w:r w:rsidR="0092160C" w:rsidRPr="008D2973">
        <w:rPr>
          <w:rFonts w:ascii="Arial" w:hAnsi="Arial" w:cs="Arial"/>
          <w:sz w:val="20"/>
          <w:szCs w:val="20"/>
        </w:rPr>
        <w:t xml:space="preserve">za sprawą skutecznej strategii rozwoju </w:t>
      </w:r>
      <w:r w:rsidR="009727CD">
        <w:rPr>
          <w:rFonts w:ascii="Arial" w:hAnsi="Arial" w:cs="Arial"/>
          <w:sz w:val="20"/>
          <w:szCs w:val="20"/>
        </w:rPr>
        <w:t xml:space="preserve">od miesięcy </w:t>
      </w:r>
      <w:r w:rsidR="00372762">
        <w:rPr>
          <w:rFonts w:ascii="Arial" w:hAnsi="Arial" w:cs="Arial"/>
          <w:sz w:val="20"/>
          <w:szCs w:val="20"/>
        </w:rPr>
        <w:t xml:space="preserve">poszerzamy </w:t>
      </w:r>
      <w:r w:rsidR="0092160C" w:rsidRPr="008D2973">
        <w:rPr>
          <w:rFonts w:ascii="Arial" w:hAnsi="Arial" w:cs="Arial"/>
          <w:sz w:val="20"/>
          <w:szCs w:val="20"/>
        </w:rPr>
        <w:t>swój rynek, wzmacniając pozycję lidera także poza Białołęką</w:t>
      </w:r>
      <w:r w:rsidR="00372762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Sprzyja temu także łatwy dojazd do obiektu z całego regionu oraz dostęp do 2055 bezpłatnych miejsc parkingowych. </w:t>
      </w:r>
      <w:r w:rsidR="00372762">
        <w:rPr>
          <w:rFonts w:ascii="Arial" w:hAnsi="Arial" w:cs="Arial"/>
          <w:sz w:val="20"/>
          <w:szCs w:val="20"/>
        </w:rPr>
        <w:t xml:space="preserve"> W rezultacie, nasz catchment obejmuje już ponad 1 mln osób</w:t>
      </w:r>
      <w:r w:rsidR="0092160C" w:rsidRPr="008D2973">
        <w:rPr>
          <w:rFonts w:ascii="Arial" w:hAnsi="Arial" w:cs="Arial"/>
          <w:sz w:val="20"/>
          <w:szCs w:val="20"/>
        </w:rPr>
        <w:t xml:space="preserve"> – </w:t>
      </w:r>
      <w:r w:rsidR="009727CD">
        <w:rPr>
          <w:rFonts w:ascii="Arial" w:hAnsi="Arial" w:cs="Arial"/>
          <w:sz w:val="20"/>
          <w:szCs w:val="20"/>
        </w:rPr>
        <w:t>komentuje</w:t>
      </w:r>
      <w:r w:rsidR="0092160C" w:rsidRPr="008D2973">
        <w:rPr>
          <w:rFonts w:ascii="Arial" w:hAnsi="Arial" w:cs="Arial"/>
          <w:sz w:val="20"/>
          <w:szCs w:val="20"/>
        </w:rPr>
        <w:t xml:space="preserve">. </w:t>
      </w:r>
    </w:p>
    <w:p w14:paraId="67438168" w14:textId="77777777" w:rsidR="0092160C" w:rsidRPr="008D2973" w:rsidRDefault="0092160C" w:rsidP="0092160C">
      <w:pPr>
        <w:pStyle w:val="Bezodstpw"/>
        <w:rPr>
          <w:rFonts w:ascii="Verdana" w:hAnsi="Verdana"/>
          <w:sz w:val="20"/>
          <w:szCs w:val="20"/>
        </w:rPr>
      </w:pPr>
    </w:p>
    <w:p w14:paraId="23C86918" w14:textId="77777777" w:rsidR="0092160C" w:rsidRDefault="0092160C" w:rsidP="0092160C">
      <w:pPr>
        <w:pStyle w:val="Bezodstpw"/>
        <w:rPr>
          <w:rFonts w:ascii="Verdana" w:hAnsi="Verdana"/>
        </w:rPr>
      </w:pPr>
    </w:p>
    <w:p w14:paraId="5A74904A" w14:textId="77777777" w:rsidR="0092160C" w:rsidRDefault="0092160C" w:rsidP="0092160C">
      <w:pPr>
        <w:pStyle w:val="Bezodstpw"/>
        <w:rPr>
          <w:rFonts w:ascii="Verdana" w:hAnsi="Verdana"/>
        </w:rPr>
      </w:pPr>
    </w:p>
    <w:p w14:paraId="77B12DFF" w14:textId="083D0464" w:rsidR="006C0869" w:rsidRPr="00D01906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lastRenderedPageBreak/>
        <w:t>Źródło: Galeria Północna/Guarana PR</w:t>
      </w:r>
    </w:p>
    <w:p w14:paraId="27DE1C17" w14:textId="4998FA98" w:rsidR="00FD77BC" w:rsidRPr="00D01906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8"/>
          <w:szCs w:val="18"/>
          <w:lang w:eastAsia="pl-PL"/>
        </w:rPr>
      </w:pPr>
      <w:r w:rsidRPr="00DF4844">
        <w:rPr>
          <w:rFonts w:ascii="Arial" w:hAnsi="Arial" w:cs="Arial"/>
          <w:sz w:val="18"/>
          <w:szCs w:val="18"/>
          <w:lang w:eastAsia="pl-PL"/>
        </w:rPr>
        <w:t>***</w:t>
      </w:r>
    </w:p>
    <w:p w14:paraId="02621064" w14:textId="6AD046DF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posiadające</w:t>
      </w:r>
      <w:r w:rsidR="007633C9" w:rsidRPr="00DF4844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DF4844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>których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DF4844">
        <w:rPr>
          <w:rFonts w:ascii="Arial" w:hAnsi="Arial" w:cs="Arial"/>
          <w:sz w:val="14"/>
          <w:szCs w:val="14"/>
          <w:lang w:eastAsia="pl-PL"/>
        </w:rPr>
        <w:t>Leadership</w:t>
      </w:r>
      <w:proofErr w:type="spellEnd"/>
      <w:r w:rsidRPr="00DF4844">
        <w:rPr>
          <w:rFonts w:ascii="Arial" w:hAnsi="Arial" w:cs="Arial"/>
          <w:sz w:val="14"/>
          <w:szCs w:val="14"/>
          <w:lang w:eastAsia="pl-PL"/>
        </w:rPr>
        <w:t xml:space="preserve"> in Energy &amp; </w:t>
      </w:r>
      <w:proofErr w:type="spellStart"/>
      <w:r w:rsidRPr="00DF4844">
        <w:rPr>
          <w:rFonts w:ascii="Arial" w:hAnsi="Arial" w:cs="Arial"/>
          <w:sz w:val="14"/>
          <w:szCs w:val="14"/>
          <w:lang w:eastAsia="pl-PL"/>
        </w:rPr>
        <w:t>Environmental</w:t>
      </w:r>
      <w:proofErr w:type="spellEnd"/>
      <w:r w:rsidRPr="00DF4844">
        <w:rPr>
          <w:rFonts w:ascii="Arial" w:hAnsi="Arial" w:cs="Arial"/>
          <w:sz w:val="14"/>
          <w:szCs w:val="14"/>
          <w:lang w:eastAsia="pl-PL"/>
        </w:rPr>
        <w:t xml:space="preserve"> Design).</w:t>
      </w:r>
    </w:p>
    <w:p w14:paraId="071B8D4B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FDD74" w14:textId="77777777" w:rsidR="001602CE" w:rsidRDefault="001602CE">
      <w:pPr>
        <w:spacing w:after="0" w:line="240" w:lineRule="auto"/>
      </w:pPr>
      <w:r>
        <w:separator/>
      </w:r>
    </w:p>
  </w:endnote>
  <w:endnote w:type="continuationSeparator" w:id="0">
    <w:p w14:paraId="5E1663E3" w14:textId="77777777" w:rsidR="001602CE" w:rsidRDefault="00160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21AEC" w14:textId="77777777" w:rsidR="001602CE" w:rsidRDefault="001602CE">
      <w:pPr>
        <w:spacing w:after="0" w:line="240" w:lineRule="auto"/>
      </w:pPr>
      <w:r>
        <w:separator/>
      </w:r>
    </w:p>
  </w:footnote>
  <w:footnote w:type="continuationSeparator" w:id="0">
    <w:p w14:paraId="0523C0DA" w14:textId="77777777" w:rsidR="001602CE" w:rsidRDefault="00160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1FAC"/>
    <w:rsid w:val="00052544"/>
    <w:rsid w:val="00063BB1"/>
    <w:rsid w:val="00072930"/>
    <w:rsid w:val="000730A9"/>
    <w:rsid w:val="00081A8D"/>
    <w:rsid w:val="00087E2F"/>
    <w:rsid w:val="0009126B"/>
    <w:rsid w:val="00092BE6"/>
    <w:rsid w:val="00093F4E"/>
    <w:rsid w:val="00096BE4"/>
    <w:rsid w:val="000A2D79"/>
    <w:rsid w:val="000A5E24"/>
    <w:rsid w:val="000A6AC5"/>
    <w:rsid w:val="000A70A8"/>
    <w:rsid w:val="000A7AC1"/>
    <w:rsid w:val="000B0D7D"/>
    <w:rsid w:val="000C275F"/>
    <w:rsid w:val="000C41F1"/>
    <w:rsid w:val="000C4511"/>
    <w:rsid w:val="000D3750"/>
    <w:rsid w:val="000E02F4"/>
    <w:rsid w:val="000E347C"/>
    <w:rsid w:val="000E48FF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5DD0"/>
    <w:rsid w:val="00135E58"/>
    <w:rsid w:val="0014204B"/>
    <w:rsid w:val="00143D2E"/>
    <w:rsid w:val="00145C7D"/>
    <w:rsid w:val="00145E38"/>
    <w:rsid w:val="0014717C"/>
    <w:rsid w:val="001523FB"/>
    <w:rsid w:val="001602CE"/>
    <w:rsid w:val="00163D62"/>
    <w:rsid w:val="0017198C"/>
    <w:rsid w:val="00171A57"/>
    <w:rsid w:val="001765C4"/>
    <w:rsid w:val="0019121D"/>
    <w:rsid w:val="00191CFD"/>
    <w:rsid w:val="00192764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1F2748"/>
    <w:rsid w:val="00200D54"/>
    <w:rsid w:val="00204CF9"/>
    <w:rsid w:val="0020745B"/>
    <w:rsid w:val="002108E9"/>
    <w:rsid w:val="00223298"/>
    <w:rsid w:val="00223986"/>
    <w:rsid w:val="00223C02"/>
    <w:rsid w:val="00225647"/>
    <w:rsid w:val="00226D40"/>
    <w:rsid w:val="00231A2F"/>
    <w:rsid w:val="0023742D"/>
    <w:rsid w:val="00245D3A"/>
    <w:rsid w:val="00250747"/>
    <w:rsid w:val="00253C32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0C4B"/>
    <w:rsid w:val="002C3004"/>
    <w:rsid w:val="002C587E"/>
    <w:rsid w:val="002D54A3"/>
    <w:rsid w:val="002E0772"/>
    <w:rsid w:val="002E4C71"/>
    <w:rsid w:val="002E60C9"/>
    <w:rsid w:val="002F388E"/>
    <w:rsid w:val="003014C6"/>
    <w:rsid w:val="00304BAC"/>
    <w:rsid w:val="00311019"/>
    <w:rsid w:val="003127DA"/>
    <w:rsid w:val="00316CF8"/>
    <w:rsid w:val="0032106C"/>
    <w:rsid w:val="003228B1"/>
    <w:rsid w:val="00323595"/>
    <w:rsid w:val="00327601"/>
    <w:rsid w:val="00332101"/>
    <w:rsid w:val="00333C4B"/>
    <w:rsid w:val="00334951"/>
    <w:rsid w:val="003354CD"/>
    <w:rsid w:val="00336D4D"/>
    <w:rsid w:val="0034170D"/>
    <w:rsid w:val="00352D04"/>
    <w:rsid w:val="00353C60"/>
    <w:rsid w:val="00356014"/>
    <w:rsid w:val="0036047C"/>
    <w:rsid w:val="00372462"/>
    <w:rsid w:val="00372762"/>
    <w:rsid w:val="00374D34"/>
    <w:rsid w:val="00376577"/>
    <w:rsid w:val="00377551"/>
    <w:rsid w:val="00382439"/>
    <w:rsid w:val="00385BEB"/>
    <w:rsid w:val="00387ADF"/>
    <w:rsid w:val="003A04C8"/>
    <w:rsid w:val="003B12D3"/>
    <w:rsid w:val="003B1DBD"/>
    <w:rsid w:val="003B4D8A"/>
    <w:rsid w:val="003B59BC"/>
    <w:rsid w:val="003B7063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CBC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4A7E"/>
    <w:rsid w:val="00456001"/>
    <w:rsid w:val="00456E28"/>
    <w:rsid w:val="0046707B"/>
    <w:rsid w:val="004677BE"/>
    <w:rsid w:val="00471402"/>
    <w:rsid w:val="00475426"/>
    <w:rsid w:val="004754FA"/>
    <w:rsid w:val="00480FB2"/>
    <w:rsid w:val="004920DD"/>
    <w:rsid w:val="00495B33"/>
    <w:rsid w:val="004A0083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502042"/>
    <w:rsid w:val="005025ED"/>
    <w:rsid w:val="005036E9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624B2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274"/>
    <w:rsid w:val="005A7D3A"/>
    <w:rsid w:val="005B1904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4A9E"/>
    <w:rsid w:val="0063517F"/>
    <w:rsid w:val="00637A64"/>
    <w:rsid w:val="006400CB"/>
    <w:rsid w:val="00656DD0"/>
    <w:rsid w:val="00657F50"/>
    <w:rsid w:val="00660313"/>
    <w:rsid w:val="00661F0D"/>
    <w:rsid w:val="006620E4"/>
    <w:rsid w:val="006660EA"/>
    <w:rsid w:val="006666FA"/>
    <w:rsid w:val="00667E0E"/>
    <w:rsid w:val="006754DE"/>
    <w:rsid w:val="00680C0E"/>
    <w:rsid w:val="00690BAB"/>
    <w:rsid w:val="006A1DD3"/>
    <w:rsid w:val="006A3DCE"/>
    <w:rsid w:val="006B5C69"/>
    <w:rsid w:val="006C05CD"/>
    <w:rsid w:val="006C0869"/>
    <w:rsid w:val="006D092C"/>
    <w:rsid w:val="006D0E04"/>
    <w:rsid w:val="006D0E66"/>
    <w:rsid w:val="006D669B"/>
    <w:rsid w:val="006E19D7"/>
    <w:rsid w:val="006E5446"/>
    <w:rsid w:val="006E5D2F"/>
    <w:rsid w:val="006E7E0C"/>
    <w:rsid w:val="006F1D81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5D0B"/>
    <w:rsid w:val="00747B2A"/>
    <w:rsid w:val="007500EB"/>
    <w:rsid w:val="00750A7C"/>
    <w:rsid w:val="007567B8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B014E"/>
    <w:rsid w:val="007B05A2"/>
    <w:rsid w:val="007B0C0F"/>
    <w:rsid w:val="007B100F"/>
    <w:rsid w:val="007B2A4F"/>
    <w:rsid w:val="007B54E7"/>
    <w:rsid w:val="007C1529"/>
    <w:rsid w:val="007C5198"/>
    <w:rsid w:val="007C7074"/>
    <w:rsid w:val="007E3BB8"/>
    <w:rsid w:val="007E5364"/>
    <w:rsid w:val="007F18D0"/>
    <w:rsid w:val="008004F3"/>
    <w:rsid w:val="008037C1"/>
    <w:rsid w:val="00803EB4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6722"/>
    <w:rsid w:val="00832453"/>
    <w:rsid w:val="00833EA9"/>
    <w:rsid w:val="00834B3E"/>
    <w:rsid w:val="00834C66"/>
    <w:rsid w:val="00835392"/>
    <w:rsid w:val="00836171"/>
    <w:rsid w:val="00840C64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5E2D"/>
    <w:rsid w:val="008C1CBE"/>
    <w:rsid w:val="008C3943"/>
    <w:rsid w:val="008C39E4"/>
    <w:rsid w:val="008C6B1D"/>
    <w:rsid w:val="008D2973"/>
    <w:rsid w:val="008E07BE"/>
    <w:rsid w:val="008E375C"/>
    <w:rsid w:val="008E79BE"/>
    <w:rsid w:val="008F20D1"/>
    <w:rsid w:val="008F22B3"/>
    <w:rsid w:val="008F4048"/>
    <w:rsid w:val="00904F56"/>
    <w:rsid w:val="009054FB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466E0"/>
    <w:rsid w:val="00947709"/>
    <w:rsid w:val="00951068"/>
    <w:rsid w:val="00953B8B"/>
    <w:rsid w:val="00957399"/>
    <w:rsid w:val="0096026F"/>
    <w:rsid w:val="00961B13"/>
    <w:rsid w:val="009625CA"/>
    <w:rsid w:val="0096266A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C0328"/>
    <w:rsid w:val="009C0941"/>
    <w:rsid w:val="009C0BEC"/>
    <w:rsid w:val="009D0684"/>
    <w:rsid w:val="009D48D4"/>
    <w:rsid w:val="009D4F81"/>
    <w:rsid w:val="009D7D9C"/>
    <w:rsid w:val="009E1DD8"/>
    <w:rsid w:val="009E3656"/>
    <w:rsid w:val="009E4AB0"/>
    <w:rsid w:val="009F1C84"/>
    <w:rsid w:val="009F1E94"/>
    <w:rsid w:val="009F328D"/>
    <w:rsid w:val="009F4252"/>
    <w:rsid w:val="00A00CBC"/>
    <w:rsid w:val="00A01015"/>
    <w:rsid w:val="00A04724"/>
    <w:rsid w:val="00A06DE5"/>
    <w:rsid w:val="00A11B70"/>
    <w:rsid w:val="00A12600"/>
    <w:rsid w:val="00A131C8"/>
    <w:rsid w:val="00A173DA"/>
    <w:rsid w:val="00A2057A"/>
    <w:rsid w:val="00A209ED"/>
    <w:rsid w:val="00A20E0F"/>
    <w:rsid w:val="00A24064"/>
    <w:rsid w:val="00A31BB7"/>
    <w:rsid w:val="00A33188"/>
    <w:rsid w:val="00A34E78"/>
    <w:rsid w:val="00A35413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4A20"/>
    <w:rsid w:val="00A87283"/>
    <w:rsid w:val="00A95804"/>
    <w:rsid w:val="00A977FE"/>
    <w:rsid w:val="00AA05D6"/>
    <w:rsid w:val="00AA415E"/>
    <w:rsid w:val="00AA5277"/>
    <w:rsid w:val="00AB2867"/>
    <w:rsid w:val="00AB5994"/>
    <w:rsid w:val="00AD459D"/>
    <w:rsid w:val="00AE19F6"/>
    <w:rsid w:val="00AE3171"/>
    <w:rsid w:val="00AE5DEA"/>
    <w:rsid w:val="00AE7BCF"/>
    <w:rsid w:val="00AF2492"/>
    <w:rsid w:val="00B02FAC"/>
    <w:rsid w:val="00B05468"/>
    <w:rsid w:val="00B11644"/>
    <w:rsid w:val="00B1207F"/>
    <w:rsid w:val="00B12AB6"/>
    <w:rsid w:val="00B223D5"/>
    <w:rsid w:val="00B3280B"/>
    <w:rsid w:val="00B32A17"/>
    <w:rsid w:val="00B5036E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715F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B3DB4"/>
    <w:rsid w:val="00BC25D2"/>
    <w:rsid w:val="00BC567D"/>
    <w:rsid w:val="00BE0BAD"/>
    <w:rsid w:val="00BE3514"/>
    <w:rsid w:val="00BF003E"/>
    <w:rsid w:val="00BF1A1A"/>
    <w:rsid w:val="00BF5F60"/>
    <w:rsid w:val="00C04F67"/>
    <w:rsid w:val="00C06B76"/>
    <w:rsid w:val="00C116D5"/>
    <w:rsid w:val="00C1437E"/>
    <w:rsid w:val="00C15034"/>
    <w:rsid w:val="00C27C59"/>
    <w:rsid w:val="00C331C6"/>
    <w:rsid w:val="00C331D5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71D3"/>
    <w:rsid w:val="00C9540C"/>
    <w:rsid w:val="00C96F74"/>
    <w:rsid w:val="00CA1A7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658E"/>
    <w:rsid w:val="00D37CDA"/>
    <w:rsid w:val="00D41731"/>
    <w:rsid w:val="00D46348"/>
    <w:rsid w:val="00D46586"/>
    <w:rsid w:val="00D47056"/>
    <w:rsid w:val="00D563DC"/>
    <w:rsid w:val="00D6766B"/>
    <w:rsid w:val="00D7672A"/>
    <w:rsid w:val="00D806E9"/>
    <w:rsid w:val="00D94C14"/>
    <w:rsid w:val="00D94F73"/>
    <w:rsid w:val="00DA126E"/>
    <w:rsid w:val="00DA5198"/>
    <w:rsid w:val="00DA7AE0"/>
    <w:rsid w:val="00DB0733"/>
    <w:rsid w:val="00DB184A"/>
    <w:rsid w:val="00DB390E"/>
    <w:rsid w:val="00DB566D"/>
    <w:rsid w:val="00DB7D8C"/>
    <w:rsid w:val="00DC0E9B"/>
    <w:rsid w:val="00DC17F0"/>
    <w:rsid w:val="00DC3812"/>
    <w:rsid w:val="00DC4737"/>
    <w:rsid w:val="00DD1F68"/>
    <w:rsid w:val="00DD34E6"/>
    <w:rsid w:val="00DE2E47"/>
    <w:rsid w:val="00DF4844"/>
    <w:rsid w:val="00DF48DA"/>
    <w:rsid w:val="00DF60B7"/>
    <w:rsid w:val="00E022AF"/>
    <w:rsid w:val="00E02C3A"/>
    <w:rsid w:val="00E052C4"/>
    <w:rsid w:val="00E11815"/>
    <w:rsid w:val="00E159A0"/>
    <w:rsid w:val="00E2283F"/>
    <w:rsid w:val="00E24D5D"/>
    <w:rsid w:val="00E2564B"/>
    <w:rsid w:val="00E26546"/>
    <w:rsid w:val="00E31F1D"/>
    <w:rsid w:val="00E355BA"/>
    <w:rsid w:val="00E36E86"/>
    <w:rsid w:val="00E41003"/>
    <w:rsid w:val="00E433AB"/>
    <w:rsid w:val="00E440A8"/>
    <w:rsid w:val="00E47064"/>
    <w:rsid w:val="00E57D42"/>
    <w:rsid w:val="00E6195A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9F6"/>
    <w:rsid w:val="00EC0A2D"/>
    <w:rsid w:val="00EC2F16"/>
    <w:rsid w:val="00EC6358"/>
    <w:rsid w:val="00ED4FEE"/>
    <w:rsid w:val="00ED6D2C"/>
    <w:rsid w:val="00ED6F7D"/>
    <w:rsid w:val="00EE2743"/>
    <w:rsid w:val="00EE4D13"/>
    <w:rsid w:val="00EE5881"/>
    <w:rsid w:val="00EF3354"/>
    <w:rsid w:val="00F06E8C"/>
    <w:rsid w:val="00F16E51"/>
    <w:rsid w:val="00F17916"/>
    <w:rsid w:val="00F22949"/>
    <w:rsid w:val="00F22E84"/>
    <w:rsid w:val="00F2361C"/>
    <w:rsid w:val="00F2575A"/>
    <w:rsid w:val="00F26C5D"/>
    <w:rsid w:val="00F276C5"/>
    <w:rsid w:val="00F371D8"/>
    <w:rsid w:val="00F37CB9"/>
    <w:rsid w:val="00F42391"/>
    <w:rsid w:val="00F4300C"/>
    <w:rsid w:val="00F44DEE"/>
    <w:rsid w:val="00F525AF"/>
    <w:rsid w:val="00F5468F"/>
    <w:rsid w:val="00F56690"/>
    <w:rsid w:val="00F607C5"/>
    <w:rsid w:val="00F6215D"/>
    <w:rsid w:val="00F6296A"/>
    <w:rsid w:val="00F63DA4"/>
    <w:rsid w:val="00F63F81"/>
    <w:rsid w:val="00F74D6F"/>
    <w:rsid w:val="00F74E24"/>
    <w:rsid w:val="00F813D5"/>
    <w:rsid w:val="00F813E3"/>
    <w:rsid w:val="00F82B98"/>
    <w:rsid w:val="00F85405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7</TotalTime>
  <Pages>2</Pages>
  <Words>830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2023-10-09T13:37:00Z</dcterms:created>
  <dcterms:modified xsi:type="dcterms:W3CDTF">2023-10-16T07:30:00Z</dcterms:modified>
</cp:coreProperties>
</file>