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4D06CD61" w:rsidR="006F6C92" w:rsidRPr="00072930" w:rsidRDefault="004B54CB" w:rsidP="00585C5C">
      <w:pPr>
        <w:pStyle w:val="Bezodstpw"/>
        <w:jc w:val="right"/>
        <w:rPr>
          <w:rFonts w:ascii="Arial" w:hAnsi="Arial" w:cs="Arial"/>
        </w:rPr>
      </w:pPr>
      <w:r w:rsidRPr="00072930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901E61F" wp14:editId="3914A143">
            <wp:simplePos x="0" y="0"/>
            <wp:positionH relativeFrom="margin">
              <wp:align>left</wp:align>
            </wp:positionH>
            <wp:positionV relativeFrom="paragraph">
              <wp:posOffset>147955</wp:posOffset>
            </wp:positionV>
            <wp:extent cx="581025" cy="581025"/>
            <wp:effectExtent l="0" t="0" r="9525" b="9525"/>
            <wp:wrapNone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5C5C">
        <w:rPr>
          <w:noProof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</w:p>
    <w:p w14:paraId="4BA337A1" w14:textId="1792981F" w:rsidR="006F6C92" w:rsidRPr="00AD459D" w:rsidRDefault="006F6C92" w:rsidP="00072930">
      <w:pPr>
        <w:pStyle w:val="Bezodstpw"/>
        <w:rPr>
          <w:rFonts w:ascii="Arial" w:hAnsi="Arial" w:cs="Arial"/>
          <w:b/>
          <w:bCs/>
          <w:sz w:val="18"/>
          <w:szCs w:val="18"/>
        </w:rPr>
      </w:pPr>
      <w:r w:rsidRPr="00AD459D">
        <w:rPr>
          <w:rFonts w:ascii="Arial" w:hAnsi="Arial" w:cs="Arial"/>
          <w:b/>
          <w:bCs/>
          <w:sz w:val="18"/>
          <w:szCs w:val="18"/>
        </w:rPr>
        <w:t xml:space="preserve">Informacja prasowa: </w:t>
      </w:r>
      <w:r w:rsidR="004B54CB">
        <w:rPr>
          <w:rFonts w:ascii="Arial" w:hAnsi="Arial" w:cs="Arial"/>
          <w:b/>
          <w:bCs/>
          <w:sz w:val="18"/>
          <w:szCs w:val="18"/>
        </w:rPr>
        <w:t>19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-0</w:t>
      </w:r>
      <w:r w:rsidR="005F4504" w:rsidRPr="00AD459D">
        <w:rPr>
          <w:rFonts w:ascii="Arial" w:hAnsi="Arial" w:cs="Arial"/>
          <w:b/>
          <w:bCs/>
          <w:sz w:val="18"/>
          <w:szCs w:val="18"/>
        </w:rPr>
        <w:t>9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543D94" w:rsidRPr="00AD459D">
        <w:rPr>
          <w:rFonts w:ascii="Arial" w:hAnsi="Arial" w:cs="Arial"/>
          <w:b/>
          <w:bCs/>
          <w:sz w:val="18"/>
          <w:szCs w:val="18"/>
        </w:rPr>
        <w:t>2022</w:t>
      </w:r>
      <w:r w:rsidRPr="00AD459D">
        <w:rPr>
          <w:rFonts w:ascii="Arial" w:hAnsi="Arial" w:cs="Arial"/>
          <w:b/>
          <w:bCs/>
          <w:sz w:val="18"/>
          <w:szCs w:val="18"/>
        </w:rPr>
        <w:t xml:space="preserve">, </w:t>
      </w:r>
      <w:r w:rsidR="00585C5C" w:rsidRPr="00AD459D">
        <w:rPr>
          <w:rFonts w:ascii="Arial" w:hAnsi="Arial" w:cs="Arial"/>
          <w:b/>
          <w:bCs/>
          <w:sz w:val="18"/>
          <w:szCs w:val="18"/>
        </w:rPr>
        <w:t>Warszawa</w:t>
      </w:r>
    </w:p>
    <w:p w14:paraId="4F99FCAB" w14:textId="0A6D7DED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 xml:space="preserve">źródło: Biuro Prasowe Galerii </w:t>
      </w:r>
      <w:r w:rsidR="00AD459D">
        <w:rPr>
          <w:rFonts w:ascii="Arial" w:hAnsi="Arial" w:cs="Arial"/>
          <w:sz w:val="18"/>
          <w:szCs w:val="18"/>
        </w:rPr>
        <w:t>Północnej</w:t>
      </w:r>
    </w:p>
    <w:p w14:paraId="617F1C83" w14:textId="77777777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>Tomasz Pietrzak/Guarana PR</w:t>
      </w:r>
    </w:p>
    <w:p w14:paraId="6475B91C" w14:textId="7A76B296" w:rsidR="006F6C92" w:rsidRPr="00567EF0" w:rsidRDefault="006F6C92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  <w:lang w:val="en-US"/>
        </w:rPr>
      </w:pPr>
      <w:r w:rsidRPr="00567EF0">
        <w:rPr>
          <w:rFonts w:ascii="Arial" w:hAnsi="Arial" w:cs="Arial"/>
          <w:sz w:val="18"/>
          <w:szCs w:val="18"/>
          <w:lang w:val="en-US"/>
        </w:rPr>
        <w:t xml:space="preserve">tel. 509 106 256 mail. </w:t>
      </w:r>
      <w:hyperlink r:id="rId9" w:history="1">
        <w:proofErr w:type="gramStart"/>
        <w:r w:rsidRPr="00567EF0">
          <w:rPr>
            <w:rStyle w:val="Hipercze"/>
            <w:rFonts w:ascii="Arial" w:hAnsi="Arial" w:cs="Arial"/>
            <w:color w:val="auto"/>
            <w:sz w:val="18"/>
            <w:szCs w:val="18"/>
            <w:u w:val="none"/>
            <w:lang w:val="en-US"/>
          </w:rPr>
          <w:t>tomasz.pietrzak</w:t>
        </w:r>
        <w:proofErr w:type="gramEnd"/>
        <w:r w:rsidR="00AD459D" w:rsidRPr="00567EF0">
          <w:rPr>
            <w:rStyle w:val="Hipercze"/>
            <w:rFonts w:ascii="Arial" w:hAnsi="Arial" w:cs="Arial"/>
            <w:color w:val="auto"/>
            <w:sz w:val="18"/>
            <w:szCs w:val="18"/>
            <w:u w:val="none"/>
            <w:lang w:val="en-US"/>
          </w:rPr>
          <w:t>[at]</w:t>
        </w:r>
        <w:r w:rsidRPr="00567EF0">
          <w:rPr>
            <w:rStyle w:val="Hipercze"/>
            <w:rFonts w:ascii="Arial" w:hAnsi="Arial" w:cs="Arial"/>
            <w:color w:val="auto"/>
            <w:sz w:val="18"/>
            <w:szCs w:val="18"/>
            <w:u w:val="none"/>
            <w:lang w:val="en-US"/>
          </w:rPr>
          <w:t>guaranapr.pl</w:t>
        </w:r>
      </w:hyperlink>
    </w:p>
    <w:p w14:paraId="7377EEA6" w14:textId="4F03AD2E" w:rsidR="00C65604" w:rsidRPr="00C65604" w:rsidRDefault="00C65604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press room: gp.dlamediow.pl </w:t>
      </w:r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15722284" w14:textId="04520245" w:rsidR="00BB6403" w:rsidRDefault="00BB6403" w:rsidP="00BB6403">
      <w:pPr>
        <w:pStyle w:val="Bezodstpw"/>
        <w:rPr>
          <w:rFonts w:ascii="Arial" w:hAnsi="Arial" w:cs="Arial"/>
        </w:rPr>
      </w:pPr>
    </w:p>
    <w:p w14:paraId="44FD3DEB" w14:textId="6DE2A018" w:rsidR="004B54CB" w:rsidRPr="00C37BFC" w:rsidRDefault="004B54CB" w:rsidP="004B54CB">
      <w:pPr>
        <w:pStyle w:val="Bezodstpw"/>
        <w:jc w:val="center"/>
        <w:rPr>
          <w:rFonts w:ascii="Arial" w:hAnsi="Arial" w:cs="Arial"/>
          <w:b/>
          <w:bCs/>
          <w:sz w:val="28"/>
          <w:szCs w:val="28"/>
        </w:rPr>
      </w:pPr>
      <w:r w:rsidRPr="00C37BFC">
        <w:rPr>
          <w:rFonts w:ascii="Arial" w:hAnsi="Arial" w:cs="Arial"/>
          <w:b/>
          <w:bCs/>
          <w:sz w:val="28"/>
          <w:szCs w:val="28"/>
        </w:rPr>
        <w:t>Tak rozwijają się galerie GTC: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br/>
      </w:r>
      <w:r w:rsidRPr="00C37BFC">
        <w:rPr>
          <w:rFonts w:ascii="Arial" w:hAnsi="Arial" w:cs="Arial"/>
          <w:b/>
          <w:bCs/>
          <w:sz w:val="28"/>
          <w:szCs w:val="28"/>
        </w:rPr>
        <w:t>dużo inwestycji, więcej marek i atrakcyjne otoczenie</w:t>
      </w:r>
    </w:p>
    <w:p w14:paraId="423D2DA0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</w:p>
    <w:p w14:paraId="400C1F67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  <w:r w:rsidRPr="00C37BFC">
        <w:rPr>
          <w:rFonts w:ascii="Arial" w:hAnsi="Arial" w:cs="Arial"/>
        </w:rPr>
        <w:t xml:space="preserve">Galeria Północna w Warszawie oraz Galeria Jurajska w Częstochowie umacniają </w:t>
      </w:r>
      <w:r>
        <w:rPr>
          <w:rFonts w:ascii="Arial" w:hAnsi="Arial" w:cs="Arial"/>
        </w:rPr>
        <w:t xml:space="preserve">swoje </w:t>
      </w:r>
      <w:r w:rsidRPr="00C37BFC">
        <w:rPr>
          <w:rFonts w:ascii="Arial" w:hAnsi="Arial" w:cs="Arial"/>
        </w:rPr>
        <w:t xml:space="preserve">pozycje na lokalnych rynkach. Wszystko za sprawą odważnych inwestycji czerpiących z rynkowych trendów, a także zmian, jakie zachodzą w ofertach. Dziś to jedne z najbardziej rozwojowych obiektów handlowych w Polsce, które mocno wyróżniają się na rynku. </w:t>
      </w:r>
    </w:p>
    <w:p w14:paraId="2C1D88D0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  <w:r w:rsidRPr="00C37BFC">
        <w:rPr>
          <w:rFonts w:ascii="Arial" w:hAnsi="Arial" w:cs="Arial"/>
        </w:rPr>
        <w:t xml:space="preserve"> </w:t>
      </w:r>
    </w:p>
    <w:p w14:paraId="0416579A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</w:p>
    <w:p w14:paraId="682B5FB9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  <w:b/>
          <w:bCs/>
        </w:rPr>
      </w:pPr>
      <w:r w:rsidRPr="00C37BFC">
        <w:rPr>
          <w:rFonts w:ascii="Arial" w:hAnsi="Arial" w:cs="Arial"/>
          <w:b/>
          <w:bCs/>
        </w:rPr>
        <w:t xml:space="preserve">Północna kusi ofertą i… dzielnicą </w:t>
      </w:r>
    </w:p>
    <w:p w14:paraId="63041F8F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  <w:r w:rsidRPr="00C37BFC">
        <w:rPr>
          <w:rFonts w:ascii="Arial" w:hAnsi="Arial" w:cs="Arial"/>
        </w:rPr>
        <w:t xml:space="preserve">Galeria Północna stawia na wielowymiarowy rozwój, zaznaczając coraz mocniej swoją obecność na warszawskim rynku, a zwłaszcza na prawym brzegu Wisły. Obiekt nie tylko realizuje kolejne wyróżniające go inwestycje, ale także umacnia ofertę. </w:t>
      </w:r>
    </w:p>
    <w:p w14:paraId="303BAB9C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</w:p>
    <w:p w14:paraId="7C334068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  <w:r w:rsidRPr="00C37BFC">
        <w:rPr>
          <w:rFonts w:ascii="Arial" w:hAnsi="Arial" w:cs="Arial"/>
        </w:rPr>
        <w:t xml:space="preserve">Tylko w ostatnich 3 latach w galerii zrealizowano aż 17 dużych inwestycji związanych z infrastrukturą oraz przestrzeniami dla klientów, w znacznej mierze opartych na idei „Trzeciego miejsca”. Centrum zainwestowało m.in. </w:t>
      </w:r>
      <w:r>
        <w:rPr>
          <w:rFonts w:ascii="Arial" w:hAnsi="Arial" w:cs="Arial"/>
        </w:rPr>
        <w:t xml:space="preserve">w </w:t>
      </w:r>
      <w:r w:rsidRPr="00C37BFC">
        <w:rPr>
          <w:rFonts w:ascii="Arial" w:hAnsi="Arial" w:cs="Arial"/>
        </w:rPr>
        <w:t xml:space="preserve">unikalny na warszawskim rynku retail ogród na dachu, który ma aż 5 tys. </w:t>
      </w:r>
      <w:r>
        <w:rPr>
          <w:rFonts w:ascii="Arial" w:hAnsi="Arial" w:cs="Arial"/>
        </w:rPr>
        <w:t>m</w:t>
      </w:r>
      <w:r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>kw.</w:t>
      </w:r>
      <w:r w:rsidRPr="00C37BFC">
        <w:rPr>
          <w:rFonts w:ascii="Arial" w:hAnsi="Arial" w:cs="Arial"/>
        </w:rPr>
        <w:t xml:space="preserve"> Można w nim znaleźć np. jedyną na świecie tężnię solankową działającą w galerii, murale, w tym 3D, a także zielone strefy relaksu z bioróżnorodną roślinnością i atrakcjami dla dzieci. </w:t>
      </w:r>
    </w:p>
    <w:p w14:paraId="553AD396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</w:p>
    <w:p w14:paraId="4CD3FA6E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  <w:r w:rsidRPr="00C37BFC">
        <w:rPr>
          <w:rFonts w:ascii="Arial" w:hAnsi="Arial" w:cs="Arial"/>
        </w:rPr>
        <w:t xml:space="preserve">Oprócz tego Północna stworzyła zewnętrzne place zabaw oraz strefę kids w galerii. Zyskała także gastronomia. W obiekcie powstał tzw. mały food court, a wzdłuż jednej z ulic utworzono ogródki restauracyjne. Sezonowo uruchomiono też 2 punkty gastronomiczne w ogrodzie na dachu. Dodatkowo otwarto </w:t>
      </w:r>
      <w:proofErr w:type="spellStart"/>
      <w:r w:rsidRPr="00C37BFC">
        <w:rPr>
          <w:rFonts w:ascii="Arial" w:hAnsi="Arial" w:cs="Arial"/>
        </w:rPr>
        <w:t>CoWork</w:t>
      </w:r>
      <w:proofErr w:type="spellEnd"/>
      <w:r w:rsidRPr="00C37BFC">
        <w:rPr>
          <w:rFonts w:ascii="Arial" w:hAnsi="Arial" w:cs="Arial"/>
        </w:rPr>
        <w:t xml:space="preserve"> </w:t>
      </w:r>
      <w:proofErr w:type="spellStart"/>
      <w:r w:rsidRPr="00C37BFC">
        <w:rPr>
          <w:rFonts w:ascii="Arial" w:hAnsi="Arial" w:cs="Arial"/>
        </w:rPr>
        <w:t>Cafe</w:t>
      </w:r>
      <w:proofErr w:type="spellEnd"/>
      <w:r w:rsidRPr="00C37B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Pr="00C37BFC">
        <w:rPr>
          <w:rFonts w:ascii="Arial" w:hAnsi="Arial" w:cs="Arial"/>
        </w:rPr>
        <w:t xml:space="preserve"> przestrzeń dla klientów umożliwiającą pracę poza biurem. Zmotoryzowani zyskali natomiast dodatkowy parking zewnętrzny. </w:t>
      </w:r>
    </w:p>
    <w:p w14:paraId="7B3B3F19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</w:p>
    <w:p w14:paraId="2AF0ACED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  <w:b/>
          <w:bCs/>
        </w:rPr>
      </w:pPr>
      <w:r w:rsidRPr="00C37BFC">
        <w:rPr>
          <w:rFonts w:ascii="Arial" w:hAnsi="Arial" w:cs="Arial"/>
        </w:rPr>
        <w:t xml:space="preserve">– Zmiany, jakie dzięki inwestycjom zachodzą w przestrzeni Północnej, są spektakularne, a to dopiero początek. W odpowiedzi na potrzeby rynku warszawskiego i konsumenta konsekwentnie rozwijamy centrum przyjazne rodzinom i socjalizujące, w którym, oprócz zakupów, można spędzić czas wolny, spotkać się ze znajomymi, a nawet pracować. Podążamy przy tym za światowymi trendami w projektowaniu przestrzeni handlowych, otwierając się na zupełnie nowe funkcje obiektu – </w:t>
      </w:r>
      <w:r w:rsidRPr="004D0AA6">
        <w:rPr>
          <w:rFonts w:ascii="Arial" w:hAnsi="Arial" w:cs="Arial"/>
          <w:b/>
          <w:bCs/>
        </w:rPr>
        <w:t xml:space="preserve">mówi </w:t>
      </w:r>
      <w:r w:rsidRPr="00C37BFC">
        <w:rPr>
          <w:rFonts w:ascii="Arial" w:hAnsi="Arial" w:cs="Arial"/>
          <w:b/>
          <w:bCs/>
        </w:rPr>
        <w:t>Roman Bugajczyk, Head of Retail in Poland w GTC S</w:t>
      </w:r>
      <w:r>
        <w:rPr>
          <w:rFonts w:ascii="Arial" w:hAnsi="Arial" w:cs="Arial"/>
          <w:b/>
          <w:bCs/>
        </w:rPr>
        <w:t>.</w:t>
      </w:r>
      <w:r w:rsidRPr="00C37BFC">
        <w:rPr>
          <w:rFonts w:ascii="Arial" w:hAnsi="Arial" w:cs="Arial"/>
          <w:b/>
          <w:bCs/>
        </w:rPr>
        <w:t>A</w:t>
      </w:r>
      <w:r w:rsidRPr="004D0AA6">
        <w:rPr>
          <w:rFonts w:ascii="Arial" w:hAnsi="Arial" w:cs="Arial"/>
          <w:b/>
          <w:bCs/>
        </w:rPr>
        <w:t>.</w:t>
      </w:r>
    </w:p>
    <w:p w14:paraId="6E26C9E6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</w:p>
    <w:p w14:paraId="611C7989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  <w:r w:rsidRPr="00C37BFC">
        <w:rPr>
          <w:rFonts w:ascii="Arial" w:hAnsi="Arial" w:cs="Arial"/>
        </w:rPr>
        <w:t>Ten kierunek rozwoju idzie w parze ze zmianami, jakie zachodzą w tenant-</w:t>
      </w:r>
      <w:r>
        <w:rPr>
          <w:rFonts w:ascii="Arial" w:hAnsi="Arial" w:cs="Arial"/>
        </w:rPr>
        <w:t>mix’ie</w:t>
      </w:r>
      <w:r w:rsidRPr="00C37BFC">
        <w:rPr>
          <w:rFonts w:ascii="Arial" w:hAnsi="Arial" w:cs="Arial"/>
        </w:rPr>
        <w:t xml:space="preserve">. Tylko od początku 2020 r. centrum wzbogaciło się aż o 17 najemców, którzy zajęli łącznie ponad 6,5 tys. </w:t>
      </w:r>
      <w:r>
        <w:rPr>
          <w:rFonts w:ascii="Arial" w:hAnsi="Arial" w:cs="Arial"/>
        </w:rPr>
        <w:t>m kw</w:t>
      </w:r>
      <w:r w:rsidRPr="00C37BFC">
        <w:rPr>
          <w:rFonts w:ascii="Arial" w:hAnsi="Arial" w:cs="Arial"/>
        </w:rPr>
        <w:t xml:space="preserve">. W gronie tym można znaleźć m.in. pierwszy w Warszawie HalfPrice, e-obuwie, Only czy Kodano. </w:t>
      </w:r>
      <w:r>
        <w:rPr>
          <w:rFonts w:ascii="Arial" w:hAnsi="Arial" w:cs="Arial"/>
        </w:rPr>
        <w:t>Przybyło także lokali gastronomicznych</w:t>
      </w:r>
      <w:r w:rsidRPr="00C37BFC">
        <w:rPr>
          <w:rFonts w:ascii="Arial" w:hAnsi="Arial" w:cs="Arial"/>
        </w:rPr>
        <w:t xml:space="preserve">. Mimo wyzwań, jakie przyniosła pandemia, w tym segmencie Północna zanotowała aż 6 nowych otwarć. Jednocześnie od stycznia br. Północna prolongowała umowy najmu obejmujące niemal 5,8 tys. </w:t>
      </w:r>
      <w:r>
        <w:rPr>
          <w:rFonts w:ascii="Arial" w:hAnsi="Arial" w:cs="Arial"/>
        </w:rPr>
        <w:t>m kw.</w:t>
      </w:r>
      <w:r w:rsidRPr="00C37BFC">
        <w:rPr>
          <w:rFonts w:ascii="Arial" w:hAnsi="Arial" w:cs="Arial"/>
        </w:rPr>
        <w:t xml:space="preserve"> </w:t>
      </w:r>
    </w:p>
    <w:p w14:paraId="1C6F55B6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</w:p>
    <w:p w14:paraId="7637F1E5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  <w:r w:rsidRPr="00C37BFC">
        <w:rPr>
          <w:rFonts w:ascii="Arial" w:hAnsi="Arial" w:cs="Arial"/>
        </w:rPr>
        <w:lastRenderedPageBreak/>
        <w:t>Rośnie także liczba marek decydujących się na dodatkowe inwestycje</w:t>
      </w:r>
      <w:r>
        <w:rPr>
          <w:rFonts w:ascii="Arial" w:hAnsi="Arial" w:cs="Arial"/>
        </w:rPr>
        <w:t>,</w:t>
      </w:r>
      <w:r w:rsidRPr="00C37BFC">
        <w:rPr>
          <w:rFonts w:ascii="Arial" w:hAnsi="Arial" w:cs="Arial"/>
        </w:rPr>
        <w:t xml:space="preserve"> np. powiększenie sklepu lub debiut nowego konceptu. Przykładem jest</w:t>
      </w:r>
      <w:r>
        <w:rPr>
          <w:rFonts w:ascii="Arial" w:hAnsi="Arial" w:cs="Arial"/>
        </w:rPr>
        <w:t xml:space="preserve"> zarówno</w:t>
      </w:r>
      <w:r w:rsidRPr="00C37BFC">
        <w:rPr>
          <w:rFonts w:ascii="Arial" w:hAnsi="Arial" w:cs="Arial"/>
        </w:rPr>
        <w:t xml:space="preserve"> CCC, jak </w:t>
      </w:r>
      <w:r>
        <w:rPr>
          <w:rFonts w:ascii="Arial" w:hAnsi="Arial" w:cs="Arial"/>
        </w:rPr>
        <w:t>i</w:t>
      </w:r>
      <w:r w:rsidRPr="00C37BFC">
        <w:rPr>
          <w:rFonts w:ascii="Arial" w:hAnsi="Arial" w:cs="Arial"/>
        </w:rPr>
        <w:t xml:space="preserve"> Sinsay, który po relokacji stworzył największy w Polsce salon. – Marki żywo interesują się Północną. Rynek dostrzega nasz świadomy i wielowymiarowy rozwój, a także fakt, że tworzymy atrakcyjne biznesowo otoczenie, w którym chcą lokować się najlepsze brandy – mówi Roman Bugajczyk. </w:t>
      </w:r>
    </w:p>
    <w:p w14:paraId="5B47C2AB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</w:p>
    <w:p w14:paraId="6B040A49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  <w:r w:rsidRPr="00C37BFC">
        <w:rPr>
          <w:rFonts w:ascii="Arial" w:hAnsi="Arial" w:cs="Arial"/>
        </w:rPr>
        <w:t xml:space="preserve">O potencjale leasingowym obiektu decyduje jednak znacznie więcej. Galeria dynamicznie odrabia zarówno footfall, jak i obroty. Ten pierwszy wykazuje stały trend wzrostowy, zbliżając centrum do wyników z 2019 r. W przypadku obrotów te wskaźniki są już wyższe niż przed pandemią. Dla przykładu: w I półroczu br. względem I półrocza 2019 r. obroty Północnej zwiększyły się niemal o 20%. </w:t>
      </w:r>
    </w:p>
    <w:p w14:paraId="150B8F81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</w:p>
    <w:p w14:paraId="778CFA70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  <w:r w:rsidRPr="00C37BFC">
        <w:rPr>
          <w:rFonts w:ascii="Arial" w:hAnsi="Arial" w:cs="Arial"/>
        </w:rPr>
        <w:t>Nie bez znaczenia jest też rozwój Białołęki, w której położona jest galeria. Jest to obecnie dzielnica o największej liczbie nowych inwestycji mieszkaniowych. Stan na II kw. 2022</w:t>
      </w:r>
      <w:r>
        <w:rPr>
          <w:rFonts w:ascii="Arial" w:hAnsi="Arial" w:cs="Arial"/>
        </w:rPr>
        <w:t xml:space="preserve"> r.</w:t>
      </w:r>
      <w:r w:rsidRPr="00C37BFC">
        <w:rPr>
          <w:rFonts w:ascii="Arial" w:hAnsi="Arial" w:cs="Arial"/>
        </w:rPr>
        <w:t xml:space="preserve"> to aż 44 realizacje</w:t>
      </w:r>
      <w:r>
        <w:rPr>
          <w:rFonts w:ascii="Arial" w:hAnsi="Arial" w:cs="Arial"/>
        </w:rPr>
        <w:t xml:space="preserve"> –</w:t>
      </w:r>
      <w:r w:rsidRPr="00C37BFC">
        <w:rPr>
          <w:rFonts w:ascii="Arial" w:hAnsi="Arial" w:cs="Arial"/>
        </w:rPr>
        <w:t xml:space="preserve"> więcej niż na Mokotowie czy w Wilanowie. To również jedna z najchętniej zasiedlanych dzielnic Warszawy, o czym świadczy spadająca liczba wolnych mieszkań, a także największa w Warszawie liczba nowych lokali wprowadzonych na rynek </w:t>
      </w:r>
      <w:r>
        <w:rPr>
          <w:rFonts w:ascii="Arial" w:hAnsi="Arial" w:cs="Arial"/>
        </w:rPr>
        <w:t xml:space="preserve">w </w:t>
      </w:r>
      <w:r w:rsidRPr="00C37BFC">
        <w:rPr>
          <w:rFonts w:ascii="Arial" w:hAnsi="Arial" w:cs="Arial"/>
        </w:rPr>
        <w:t>okresie od IV kw. 2021 do I kw. 2022</w:t>
      </w:r>
      <w:r>
        <w:rPr>
          <w:rFonts w:ascii="Arial" w:hAnsi="Arial" w:cs="Arial"/>
        </w:rPr>
        <w:t xml:space="preserve"> r.</w:t>
      </w:r>
      <w:r w:rsidRPr="00C37BFC">
        <w:rPr>
          <w:rFonts w:ascii="Arial" w:hAnsi="Arial" w:cs="Arial"/>
        </w:rPr>
        <w:t xml:space="preserve"> – niemal 1,3 tys. </w:t>
      </w:r>
    </w:p>
    <w:p w14:paraId="76708BD4" w14:textId="77777777" w:rsidR="004B54CB" w:rsidRPr="00C37BFC" w:rsidRDefault="004B54CB" w:rsidP="004B54CB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C37BFC">
        <w:rPr>
          <w:rFonts w:ascii="Arial" w:hAnsi="Arial" w:cs="Arial"/>
        </w:rPr>
        <w:t>– Północnej, ale także jej najemcom, rośnie bardzo atrakcyjne sąsiedztwo. Nowe inwestycje mieszkaniowe przyciągają rodziny, a także profesjonalistów i m</w:t>
      </w:r>
      <w:r>
        <w:rPr>
          <w:rFonts w:ascii="Arial" w:hAnsi="Arial" w:cs="Arial"/>
        </w:rPr>
        <w:t>enadż</w:t>
      </w:r>
      <w:r w:rsidRPr="00C37BFC">
        <w:rPr>
          <w:rFonts w:ascii="Arial" w:hAnsi="Arial" w:cs="Arial"/>
        </w:rPr>
        <w:t>erów. Przybywa także zamożniejszych mieszkańców, co jest efektem powolnej gentryfikacji Białołęki i realizowanych inwestycji premium. Tworzy to markom, także tym z wyższej półki, niezwykle ciekawy i bardzo rozwojowy rynek, którego potencjał będzie gwałtownie rósł w najbliższych latach – mówi Bugajczyk.</w:t>
      </w:r>
    </w:p>
    <w:p w14:paraId="56B128A5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  <w:b/>
          <w:bCs/>
        </w:rPr>
      </w:pPr>
      <w:r w:rsidRPr="00C37BFC">
        <w:rPr>
          <w:rFonts w:ascii="Arial" w:hAnsi="Arial" w:cs="Arial"/>
          <w:b/>
          <w:bCs/>
        </w:rPr>
        <w:t>Jurajska mocna na południu</w:t>
      </w:r>
    </w:p>
    <w:p w14:paraId="657119AE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  <w:r w:rsidRPr="00C37BFC">
        <w:rPr>
          <w:rFonts w:ascii="Arial" w:hAnsi="Arial" w:cs="Arial"/>
        </w:rPr>
        <w:t>W podobnym kierunku na swój rozwój patrzy Galeria Jurajska. – O ile warszawskie centrum nadal buduje pozycję na rynku, o tyle Jurajska to centrum dojrzałe, osadzone, mające silną pozycję regionalnego lidera, zarówno pod względem powierzchni, jak</w:t>
      </w:r>
      <w:r>
        <w:rPr>
          <w:rFonts w:ascii="Arial" w:hAnsi="Arial" w:cs="Arial"/>
        </w:rPr>
        <w:t xml:space="preserve"> </w:t>
      </w:r>
      <w:r w:rsidRPr="00C37BFC">
        <w:rPr>
          <w:rFonts w:ascii="Arial" w:hAnsi="Arial" w:cs="Arial"/>
        </w:rPr>
        <w:t>i oferty. Nie oznacza to jednak, że obiekt się nie zmienia. Tu również podążamy za rynkowymi trendami, pozwalając galerii ewoluować razem z konsumentem i jego potrzebami – tłumaczy.</w:t>
      </w:r>
    </w:p>
    <w:p w14:paraId="3EF31CF3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</w:p>
    <w:p w14:paraId="0FAA6FF8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  <w:r w:rsidRPr="00C37BFC">
        <w:rPr>
          <w:rFonts w:ascii="Arial" w:hAnsi="Arial" w:cs="Arial"/>
        </w:rPr>
        <w:t>Ostatnie lata przyniosły tu kilkadziesiąt inwestycji, które po</w:t>
      </w:r>
      <w:r>
        <w:rPr>
          <w:rFonts w:ascii="Arial" w:hAnsi="Arial" w:cs="Arial"/>
        </w:rPr>
        <w:t>mnożyły</w:t>
      </w:r>
      <w:r w:rsidRPr="00C37BFC">
        <w:rPr>
          <w:rFonts w:ascii="Arial" w:hAnsi="Arial" w:cs="Arial"/>
        </w:rPr>
        <w:t xml:space="preserve"> atrakcje i</w:t>
      </w:r>
      <w:r>
        <w:rPr>
          <w:rFonts w:ascii="Arial" w:hAnsi="Arial" w:cs="Arial"/>
        </w:rPr>
        <w:t xml:space="preserve"> poszerzyły</w:t>
      </w:r>
      <w:r w:rsidRPr="00C37BFC">
        <w:rPr>
          <w:rFonts w:ascii="Arial" w:hAnsi="Arial" w:cs="Arial"/>
        </w:rPr>
        <w:t xml:space="preserve"> funkcje obiektu. Nad brzegiem Warty powstały Bulwary Jurajskie, czyli nowoczesny ogród miejski. Z kolei w obiekcie zamontowano „Zegar Jurajski” – największą tego typu konstrukcję ze ścianą wodną na świecie. W centrum powstały też olbrzymie akwaria słodko- i słonowodne, tworzące strefę dydaktyczno-wypoczynkową, a także liczne strefy relaksu. Modernizacji i „</w:t>
      </w:r>
      <w:proofErr w:type="spellStart"/>
      <w:r w:rsidRPr="00C37BFC">
        <w:rPr>
          <w:rFonts w:ascii="Arial" w:hAnsi="Arial" w:cs="Arial"/>
        </w:rPr>
        <w:t>beautyfikacji</w:t>
      </w:r>
      <w:proofErr w:type="spellEnd"/>
      <w:r w:rsidRPr="00C37BFC">
        <w:rPr>
          <w:rFonts w:ascii="Arial" w:hAnsi="Arial" w:cs="Arial"/>
        </w:rPr>
        <w:t>” poddano natomiast aleje handlowe, strefy wejść do galerii, a także food court.</w:t>
      </w:r>
    </w:p>
    <w:p w14:paraId="189640D5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</w:p>
    <w:p w14:paraId="5741E6A5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  <w:r w:rsidRPr="00C37BFC">
        <w:rPr>
          <w:rFonts w:ascii="Arial" w:hAnsi="Arial" w:cs="Arial"/>
        </w:rPr>
        <w:t>Zmiany w przestrzeni nie są jedynymi, które zauważają klienci i najemcy. Centrum z sukcesem prowadzi rekomercjalizację, wprowadzając unikalne lokalnie marki. Tylko od początku 2020 r. tenant-mix wzbogacił się aż o 15 nowych brandów, a wieloletni partnerzy obiektu prolongowali umowy, w efekcie czego galeria jest niemal w 100% skomercjalizowana. Ostatni rok to głośne otwarcia</w:t>
      </w:r>
      <w:r>
        <w:rPr>
          <w:rFonts w:ascii="Arial" w:hAnsi="Arial" w:cs="Arial"/>
        </w:rPr>
        <w:t>,</w:t>
      </w:r>
      <w:r w:rsidRPr="00C37BFC">
        <w:rPr>
          <w:rFonts w:ascii="Arial" w:hAnsi="Arial" w:cs="Arial"/>
        </w:rPr>
        <w:t xml:space="preserve"> m.in. największego w woj. śląskim sklepu HalfPrice, New </w:t>
      </w:r>
      <w:proofErr w:type="spellStart"/>
      <w:r w:rsidRPr="00C37BFC">
        <w:rPr>
          <w:rFonts w:ascii="Arial" w:hAnsi="Arial" w:cs="Arial"/>
        </w:rPr>
        <w:t>Balance</w:t>
      </w:r>
      <w:proofErr w:type="spellEnd"/>
      <w:r w:rsidRPr="00C37BFC">
        <w:rPr>
          <w:rFonts w:ascii="Arial" w:hAnsi="Arial" w:cs="Arial"/>
        </w:rPr>
        <w:t xml:space="preserve">, </w:t>
      </w:r>
      <w:proofErr w:type="spellStart"/>
      <w:r w:rsidRPr="00C37BFC">
        <w:rPr>
          <w:rFonts w:ascii="Arial" w:hAnsi="Arial" w:cs="Arial"/>
        </w:rPr>
        <w:t>FootLocker</w:t>
      </w:r>
      <w:proofErr w:type="spellEnd"/>
      <w:r w:rsidRPr="00C37BFC">
        <w:rPr>
          <w:rFonts w:ascii="Arial" w:hAnsi="Arial" w:cs="Arial"/>
        </w:rPr>
        <w:t xml:space="preserve"> czy Studia Planowania IKEA, a także remodeling </w:t>
      </w:r>
      <w:proofErr w:type="spellStart"/>
      <w:r w:rsidRPr="00C37BFC">
        <w:rPr>
          <w:rFonts w:ascii="Arial" w:hAnsi="Arial" w:cs="Arial"/>
        </w:rPr>
        <w:t>So</w:t>
      </w:r>
      <w:proofErr w:type="spellEnd"/>
      <w:r w:rsidRPr="00C37BFC">
        <w:rPr>
          <w:rFonts w:ascii="Arial" w:hAnsi="Arial" w:cs="Arial"/>
        </w:rPr>
        <w:t xml:space="preserve">! </w:t>
      </w:r>
      <w:proofErr w:type="spellStart"/>
      <w:r w:rsidRPr="00C37BFC">
        <w:rPr>
          <w:rFonts w:ascii="Arial" w:hAnsi="Arial" w:cs="Arial"/>
        </w:rPr>
        <w:t>Coffee</w:t>
      </w:r>
      <w:proofErr w:type="spellEnd"/>
      <w:r w:rsidRPr="00C37BFC">
        <w:rPr>
          <w:rFonts w:ascii="Arial" w:hAnsi="Arial" w:cs="Arial"/>
        </w:rPr>
        <w:t>, Pepco i Empik</w:t>
      </w:r>
      <w:r>
        <w:rPr>
          <w:rFonts w:ascii="Arial" w:hAnsi="Arial" w:cs="Arial"/>
        </w:rPr>
        <w:t>u</w:t>
      </w:r>
      <w:r w:rsidRPr="00C37BFC">
        <w:rPr>
          <w:rFonts w:ascii="Arial" w:hAnsi="Arial" w:cs="Arial"/>
        </w:rPr>
        <w:t>.</w:t>
      </w:r>
    </w:p>
    <w:p w14:paraId="163A3BC9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</w:p>
    <w:p w14:paraId="53143A74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  <w:r w:rsidRPr="00C37BFC">
        <w:rPr>
          <w:rFonts w:ascii="Arial" w:hAnsi="Arial" w:cs="Arial"/>
        </w:rPr>
        <w:t xml:space="preserve">– Oferta handlowo-rozrywkowa Jurajskiej jest jedną z najatrakcyjniejszych na południu Polski. To nie tylko modelowa galeria fashion z kompletem topowych marek, ale przede wszystkim nowoczesne centrum lifestylowe, które brandy chętnie wybierają na swój lokalny debiut lub launch konceptu handlowego. Doceniają to zresztą klienci. W nowych badaniach ARC Rynek i Opinia aż 98% kupujących pozytywnie ocenia obiekt. To wynik, jaki osiąga niewiele galerii w kraju – mówi. </w:t>
      </w:r>
    </w:p>
    <w:p w14:paraId="4A1342F7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</w:p>
    <w:p w14:paraId="5FFCDADD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 potencjale obiektu świadczą także jego wyniki. </w:t>
      </w:r>
      <w:r w:rsidRPr="00C37BFC">
        <w:rPr>
          <w:rFonts w:ascii="Arial" w:hAnsi="Arial" w:cs="Arial"/>
        </w:rPr>
        <w:t xml:space="preserve">– Atrakcyjność obiektu i jego oferta sprawiają, że do galerii ściągają klienci także z dalszych zakątków regionu. Rynek centrum obejmuje już ponad milion mieszkańców. Popularność przekłada się na wyniki, w tym na obroty, które w I półroczu br. względem I półrocza 2019 r. wzrosły o blisko 9%. To wyraźnie pokazuje, że jest to nie tylko obiekt nr 1 w północnej części woj. śląskiego, ale także jeden z liderów w całym regionie – dodaje. </w:t>
      </w:r>
    </w:p>
    <w:p w14:paraId="02654806" w14:textId="77777777" w:rsidR="004B54CB" w:rsidRPr="00C37BFC" w:rsidRDefault="004B54CB" w:rsidP="004B54CB">
      <w:pPr>
        <w:pStyle w:val="Bezodstpw"/>
        <w:jc w:val="both"/>
        <w:rPr>
          <w:rFonts w:ascii="Arial" w:hAnsi="Arial" w:cs="Arial"/>
        </w:rPr>
      </w:pPr>
    </w:p>
    <w:p w14:paraId="4068ACDC" w14:textId="77777777" w:rsidR="00E00A5A" w:rsidRDefault="00E00A5A" w:rsidP="00AD459D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75957CC9" w14:textId="77777777" w:rsidR="00E00A5A" w:rsidRDefault="00E00A5A" w:rsidP="00AD459D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332926E1" w14:textId="1C7B2A77" w:rsidR="00E00A5A" w:rsidRPr="00E00A5A" w:rsidRDefault="00E00A5A" w:rsidP="00AD459D">
      <w:pPr>
        <w:pStyle w:val="Bezodstpw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ź</w:t>
      </w:r>
      <w:r w:rsidRPr="00E00A5A">
        <w:rPr>
          <w:rFonts w:ascii="Arial" w:hAnsi="Arial" w:cs="Arial"/>
          <w:sz w:val="18"/>
          <w:szCs w:val="18"/>
        </w:rPr>
        <w:t>ródło: Galeria Północna</w:t>
      </w:r>
      <w:r w:rsidR="004B54CB">
        <w:rPr>
          <w:rFonts w:ascii="Arial" w:hAnsi="Arial" w:cs="Arial"/>
          <w:sz w:val="18"/>
          <w:szCs w:val="18"/>
        </w:rPr>
        <w:t>, Galeria Jurajska</w:t>
      </w:r>
      <w:r w:rsidRPr="00E00A5A">
        <w:rPr>
          <w:rFonts w:ascii="Arial" w:hAnsi="Arial" w:cs="Arial"/>
          <w:sz w:val="18"/>
          <w:szCs w:val="18"/>
        </w:rPr>
        <w:t>/Guarana PR</w:t>
      </w:r>
    </w:p>
    <w:p w14:paraId="7FA31E95" w14:textId="04EF5F1B" w:rsidR="00E00A5A" w:rsidRPr="00E00A5A" w:rsidRDefault="00E00A5A" w:rsidP="00AD459D">
      <w:pPr>
        <w:pStyle w:val="Bezodstpw"/>
        <w:jc w:val="both"/>
        <w:rPr>
          <w:rFonts w:ascii="Arial" w:hAnsi="Arial" w:cs="Arial"/>
          <w:sz w:val="18"/>
          <w:szCs w:val="18"/>
        </w:rPr>
      </w:pPr>
      <w:proofErr w:type="spellStart"/>
      <w:r w:rsidRPr="00E00A5A">
        <w:rPr>
          <w:rFonts w:ascii="Arial" w:hAnsi="Arial" w:cs="Arial"/>
          <w:sz w:val="18"/>
          <w:szCs w:val="18"/>
        </w:rPr>
        <w:t>tagi</w:t>
      </w:r>
      <w:proofErr w:type="spellEnd"/>
      <w:r w:rsidRPr="00E00A5A">
        <w:rPr>
          <w:rFonts w:ascii="Arial" w:hAnsi="Arial" w:cs="Arial"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t>G</w:t>
      </w:r>
      <w:r w:rsidRPr="00E00A5A">
        <w:rPr>
          <w:rFonts w:ascii="Arial" w:hAnsi="Arial" w:cs="Arial"/>
          <w:sz w:val="18"/>
          <w:szCs w:val="18"/>
        </w:rPr>
        <w:t xml:space="preserve">aleria </w:t>
      </w:r>
      <w:r>
        <w:rPr>
          <w:rFonts w:ascii="Arial" w:hAnsi="Arial" w:cs="Arial"/>
          <w:sz w:val="18"/>
          <w:szCs w:val="18"/>
        </w:rPr>
        <w:t>P</w:t>
      </w:r>
      <w:r w:rsidRPr="00E00A5A">
        <w:rPr>
          <w:rFonts w:ascii="Arial" w:hAnsi="Arial" w:cs="Arial"/>
          <w:sz w:val="18"/>
          <w:szCs w:val="18"/>
        </w:rPr>
        <w:t>ółnocna,</w:t>
      </w:r>
      <w:r w:rsidR="004B54CB">
        <w:rPr>
          <w:rFonts w:ascii="Arial" w:hAnsi="Arial" w:cs="Arial"/>
          <w:sz w:val="18"/>
          <w:szCs w:val="18"/>
        </w:rPr>
        <w:t xml:space="preserve"> Galeria Jurajska,</w:t>
      </w:r>
      <w:r w:rsidRPr="00E00A5A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W</w:t>
      </w:r>
      <w:r w:rsidRPr="00E00A5A">
        <w:rPr>
          <w:rFonts w:ascii="Arial" w:hAnsi="Arial" w:cs="Arial"/>
          <w:sz w:val="18"/>
          <w:szCs w:val="18"/>
        </w:rPr>
        <w:t xml:space="preserve">arszawa, </w:t>
      </w:r>
      <w:r>
        <w:rPr>
          <w:rFonts w:ascii="Arial" w:hAnsi="Arial" w:cs="Arial"/>
          <w:sz w:val="18"/>
          <w:szCs w:val="18"/>
        </w:rPr>
        <w:t>GTC</w:t>
      </w:r>
      <w:r w:rsidR="00B23FD0">
        <w:rPr>
          <w:rFonts w:ascii="Arial" w:hAnsi="Arial" w:cs="Arial"/>
          <w:sz w:val="18"/>
          <w:szCs w:val="18"/>
        </w:rPr>
        <w:t xml:space="preserve"> </w:t>
      </w:r>
      <w:r w:rsidRPr="00E00A5A">
        <w:rPr>
          <w:rFonts w:ascii="Arial" w:hAnsi="Arial" w:cs="Arial"/>
          <w:sz w:val="18"/>
          <w:szCs w:val="18"/>
        </w:rPr>
        <w:t xml:space="preserve"> </w:t>
      </w:r>
    </w:p>
    <w:p w14:paraId="14021F00" w14:textId="306BECA9" w:rsidR="001463FD" w:rsidRDefault="001463FD" w:rsidP="00AD45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62E8EF" w14:textId="77777777" w:rsidR="001463FD" w:rsidRPr="00AD459D" w:rsidRDefault="001463FD" w:rsidP="00AD45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E23567" w14:textId="3DEC476C" w:rsidR="00621F55" w:rsidRPr="00C06B76" w:rsidRDefault="00C06B76" w:rsidP="001463FD">
      <w:pPr>
        <w:pStyle w:val="Bezodstpw"/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***</w:t>
      </w:r>
    </w:p>
    <w:p w14:paraId="3ADE82EE" w14:textId="77777777" w:rsidR="000309C9" w:rsidRDefault="000309C9" w:rsidP="0072478F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14:paraId="766FCC1C" w14:textId="71ADFD62" w:rsidR="006F6C92" w:rsidRPr="00C06B76" w:rsidRDefault="00621F55" w:rsidP="000309C9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C06B76">
        <w:rPr>
          <w:rFonts w:ascii="Arial" w:hAnsi="Arial" w:cs="Arial"/>
          <w:b/>
          <w:bCs/>
          <w:sz w:val="14"/>
          <w:szCs w:val="14"/>
        </w:rPr>
        <w:t>Galeria Północna</w:t>
      </w:r>
      <w:r w:rsidRPr="00C06B76">
        <w:rPr>
          <w:rFonts w:ascii="Arial" w:hAnsi="Arial" w:cs="Arial"/>
          <w:sz w:val="14"/>
          <w:szCs w:val="14"/>
        </w:rPr>
        <w:t xml:space="preserve"> to nowoczesne</w:t>
      </w:r>
      <w:r w:rsidR="00A67317" w:rsidRPr="00C06B76">
        <w:rPr>
          <w:rFonts w:ascii="Arial" w:hAnsi="Arial" w:cs="Arial"/>
          <w:sz w:val="14"/>
          <w:szCs w:val="14"/>
        </w:rPr>
        <w:t xml:space="preserve"> rodzinne</w:t>
      </w:r>
      <w:r w:rsidRPr="00C06B76">
        <w:rPr>
          <w:rFonts w:ascii="Arial" w:hAnsi="Arial" w:cs="Arial"/>
          <w:sz w:val="14"/>
          <w:szCs w:val="14"/>
        </w:rPr>
        <w:t xml:space="preserve"> centrum handlowe w północnej części Warszawy, pierwsze czwartej generacji w tej części miasta. </w:t>
      </w:r>
      <w:r w:rsidR="0072478F" w:rsidRPr="00C06B76">
        <w:rPr>
          <w:rFonts w:ascii="Arial" w:hAnsi="Arial" w:cs="Arial"/>
          <w:sz w:val="14"/>
          <w:szCs w:val="14"/>
        </w:rPr>
        <w:t xml:space="preserve">Mający </w:t>
      </w:r>
      <w:r w:rsidR="000309C9">
        <w:rPr>
          <w:rFonts w:ascii="Arial" w:hAnsi="Arial" w:cs="Arial"/>
          <w:sz w:val="14"/>
          <w:szCs w:val="14"/>
        </w:rPr>
        <w:t>64,8</w:t>
      </w:r>
      <w:r w:rsidR="0072478F" w:rsidRPr="00C06B76">
        <w:rPr>
          <w:rFonts w:ascii="Arial" w:hAnsi="Arial" w:cs="Arial"/>
          <w:sz w:val="14"/>
          <w:szCs w:val="14"/>
        </w:rPr>
        <w:t xml:space="preserve"> tys. m kw. obiekt</w:t>
      </w:r>
      <w:r w:rsidRPr="00C06B76">
        <w:rPr>
          <w:rFonts w:ascii="Arial" w:hAnsi="Arial" w:cs="Arial"/>
          <w:sz w:val="14"/>
          <w:szCs w:val="14"/>
        </w:rPr>
        <w:t xml:space="preserve"> stworzony został z myślą o osobach uwielbiających zakupy, ale także aktywną formę spędzania czasu wolnego. Na ofertę </w:t>
      </w:r>
      <w:r w:rsidR="0072478F" w:rsidRPr="00C06B76">
        <w:rPr>
          <w:rFonts w:ascii="Arial" w:hAnsi="Arial" w:cs="Arial"/>
          <w:sz w:val="14"/>
          <w:szCs w:val="14"/>
        </w:rPr>
        <w:t>galerii</w:t>
      </w:r>
      <w:r w:rsidR="00A67317" w:rsidRPr="00C06B76">
        <w:rPr>
          <w:rFonts w:ascii="Arial" w:hAnsi="Arial" w:cs="Arial"/>
          <w:sz w:val="14"/>
          <w:szCs w:val="14"/>
        </w:rPr>
        <w:t>, obejmującą aż 15 segmentów,</w:t>
      </w:r>
      <w:r w:rsidRPr="00C06B76">
        <w:rPr>
          <w:rFonts w:ascii="Arial" w:hAnsi="Arial" w:cs="Arial"/>
          <w:sz w:val="14"/>
          <w:szCs w:val="14"/>
        </w:rPr>
        <w:t xml:space="preserve"> składa się dziś </w:t>
      </w:r>
      <w:r w:rsidR="00A67317" w:rsidRPr="00C06B76">
        <w:rPr>
          <w:rFonts w:ascii="Arial" w:hAnsi="Arial" w:cs="Arial"/>
          <w:sz w:val="14"/>
          <w:szCs w:val="14"/>
        </w:rPr>
        <w:t>niemal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A67317" w:rsidRPr="00C06B76">
        <w:rPr>
          <w:rFonts w:ascii="Arial" w:hAnsi="Arial" w:cs="Arial"/>
          <w:sz w:val="14"/>
          <w:szCs w:val="14"/>
        </w:rPr>
        <w:t>200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72478F" w:rsidRPr="00C06B76">
        <w:rPr>
          <w:rFonts w:ascii="Arial" w:hAnsi="Arial" w:cs="Arial"/>
          <w:sz w:val="14"/>
          <w:szCs w:val="14"/>
        </w:rPr>
        <w:t>najemców</w:t>
      </w:r>
      <w:r w:rsidRPr="00C06B76">
        <w:rPr>
          <w:rFonts w:ascii="Arial" w:hAnsi="Arial" w:cs="Arial"/>
          <w:sz w:val="14"/>
          <w:szCs w:val="14"/>
        </w:rPr>
        <w:t xml:space="preserve">. </w:t>
      </w:r>
      <w:r w:rsidR="0072478F" w:rsidRPr="00C06B76">
        <w:rPr>
          <w:rFonts w:ascii="Arial" w:hAnsi="Arial" w:cs="Arial"/>
          <w:sz w:val="14"/>
          <w:szCs w:val="14"/>
        </w:rPr>
        <w:t>Tenant-mix Północnej wypełniają</w:t>
      </w:r>
      <w:r w:rsidR="00E433AB" w:rsidRPr="00C06B76">
        <w:rPr>
          <w:rFonts w:ascii="Arial" w:hAnsi="Arial" w:cs="Arial"/>
          <w:sz w:val="14"/>
          <w:szCs w:val="14"/>
        </w:rPr>
        <w:t xml:space="preserve"> tak znane marki jak m.in.</w:t>
      </w:r>
      <w:r w:rsidR="00C06B76" w:rsidRPr="00C06B76">
        <w:rPr>
          <w:rFonts w:ascii="Arial" w:hAnsi="Arial" w:cs="Arial"/>
          <w:sz w:val="14"/>
          <w:szCs w:val="14"/>
        </w:rPr>
        <w:t>:</w:t>
      </w:r>
      <w:r w:rsidR="00E433AB" w:rsidRPr="00C06B76">
        <w:rPr>
          <w:rFonts w:ascii="Arial" w:hAnsi="Arial" w:cs="Arial"/>
          <w:sz w:val="14"/>
          <w:szCs w:val="14"/>
        </w:rPr>
        <w:t xml:space="preserve"> H&amp;M, Reserved, Sinsay,</w:t>
      </w:r>
      <w:r w:rsidR="00C06B76" w:rsidRPr="00C06B76">
        <w:rPr>
          <w:rFonts w:ascii="Arial" w:hAnsi="Arial" w:cs="Arial"/>
          <w:sz w:val="14"/>
          <w:szCs w:val="14"/>
        </w:rPr>
        <w:t xml:space="preserve"> Mango, Guess,</w:t>
      </w:r>
      <w:r w:rsidR="00E433AB" w:rsidRPr="00C06B76">
        <w:rPr>
          <w:rFonts w:ascii="Arial" w:hAnsi="Arial" w:cs="Arial"/>
          <w:sz w:val="14"/>
          <w:szCs w:val="14"/>
        </w:rPr>
        <w:t xml:space="preserve"> KappAhl, TK Maxx, HalfPrice, Tatuum, New Yorker, Vistula CCC, Deichmann, </w:t>
      </w:r>
      <w:r w:rsidR="00C06B76" w:rsidRPr="00C06B76">
        <w:rPr>
          <w:rFonts w:ascii="Arial" w:hAnsi="Arial" w:cs="Arial"/>
          <w:sz w:val="14"/>
          <w:szCs w:val="14"/>
        </w:rPr>
        <w:t xml:space="preserve">eobuwie.pl, 4F, Puma, New Balance, Intersport, Martes, </w:t>
      </w:r>
      <w:r w:rsidR="00E433AB" w:rsidRPr="00C06B76">
        <w:rPr>
          <w:rFonts w:ascii="Arial" w:hAnsi="Arial" w:cs="Arial"/>
          <w:sz w:val="14"/>
          <w:szCs w:val="14"/>
        </w:rPr>
        <w:t xml:space="preserve">Wittchen, Tous, </w:t>
      </w:r>
      <w:proofErr w:type="gramStart"/>
      <w:r w:rsidR="00E433AB" w:rsidRPr="00C06B76">
        <w:rPr>
          <w:rFonts w:ascii="Arial" w:hAnsi="Arial" w:cs="Arial"/>
          <w:sz w:val="14"/>
          <w:szCs w:val="14"/>
        </w:rPr>
        <w:t>W.</w:t>
      </w:r>
      <w:r w:rsidR="000309C9">
        <w:rPr>
          <w:rFonts w:ascii="Arial" w:hAnsi="Arial" w:cs="Arial"/>
          <w:sz w:val="14"/>
          <w:szCs w:val="14"/>
        </w:rPr>
        <w:t>KRUK</w:t>
      </w:r>
      <w:proofErr w:type="gramEnd"/>
      <w:r w:rsidR="00E433AB" w:rsidRPr="00C06B76">
        <w:rPr>
          <w:rFonts w:ascii="Arial" w:hAnsi="Arial" w:cs="Arial"/>
          <w:sz w:val="14"/>
          <w:szCs w:val="14"/>
        </w:rPr>
        <w:t>, Apart, Yes, Douglas, Rossmann</w:t>
      </w:r>
      <w:r w:rsidR="00A67317" w:rsidRPr="00C06B76">
        <w:rPr>
          <w:rFonts w:ascii="Arial" w:hAnsi="Arial" w:cs="Arial"/>
          <w:sz w:val="14"/>
          <w:szCs w:val="14"/>
        </w:rPr>
        <w:t xml:space="preserve">, </w:t>
      </w:r>
      <w:r w:rsidR="00C06B76" w:rsidRPr="00C06B76">
        <w:rPr>
          <w:rFonts w:ascii="Arial" w:hAnsi="Arial" w:cs="Arial"/>
          <w:sz w:val="14"/>
          <w:szCs w:val="14"/>
        </w:rPr>
        <w:t>Sephora, L’occitane, Inglot</w:t>
      </w:r>
      <w:r w:rsidR="00A67317" w:rsidRPr="00C06B76">
        <w:rPr>
          <w:rFonts w:ascii="Arial" w:hAnsi="Arial" w:cs="Arial"/>
          <w:sz w:val="14"/>
          <w:szCs w:val="14"/>
        </w:rPr>
        <w:t>, Empik, RTV Euro AGD, iSpot, Media Expert, Samsung, Sony Center</w:t>
      </w:r>
      <w:r w:rsidR="00C06B76" w:rsidRPr="00C06B76">
        <w:rPr>
          <w:rFonts w:ascii="Arial" w:hAnsi="Arial" w:cs="Arial"/>
          <w:sz w:val="14"/>
          <w:szCs w:val="14"/>
        </w:rPr>
        <w:t>, Duka, home&amp;you i Homla</w:t>
      </w:r>
      <w:r w:rsidR="00E433AB" w:rsidRPr="00C06B76">
        <w:rPr>
          <w:rFonts w:ascii="Arial" w:hAnsi="Arial" w:cs="Arial"/>
          <w:sz w:val="14"/>
          <w:szCs w:val="14"/>
        </w:rPr>
        <w:t xml:space="preserve">. Operatorem spożywczym galerii jest </w:t>
      </w:r>
      <w:r w:rsidR="0072478F" w:rsidRPr="00C06B76">
        <w:rPr>
          <w:rFonts w:ascii="Arial" w:hAnsi="Arial" w:cs="Arial"/>
          <w:sz w:val="14"/>
          <w:szCs w:val="14"/>
        </w:rPr>
        <w:t xml:space="preserve">natomiast </w:t>
      </w:r>
      <w:r w:rsidR="00E433AB" w:rsidRPr="00C06B76">
        <w:rPr>
          <w:rFonts w:ascii="Arial" w:hAnsi="Arial" w:cs="Arial"/>
          <w:sz w:val="14"/>
          <w:szCs w:val="14"/>
        </w:rPr>
        <w:t>Carrefour. W centrum mieści się także fitness club Zdrofit</w:t>
      </w:r>
      <w:r w:rsidR="0072478F" w:rsidRPr="00C06B76">
        <w:rPr>
          <w:rFonts w:ascii="Arial" w:hAnsi="Arial" w:cs="Arial"/>
          <w:sz w:val="14"/>
          <w:szCs w:val="14"/>
        </w:rPr>
        <w:t>, 11-salowe kino Cinema City</w:t>
      </w:r>
      <w:r w:rsidR="00A67317" w:rsidRPr="00C06B76">
        <w:rPr>
          <w:rFonts w:ascii="Arial" w:hAnsi="Arial" w:cs="Arial"/>
          <w:sz w:val="14"/>
          <w:szCs w:val="14"/>
        </w:rPr>
        <w:t xml:space="preserve">, a także </w:t>
      </w:r>
      <w:r w:rsidR="00C06B76" w:rsidRPr="00C06B76">
        <w:rPr>
          <w:rFonts w:ascii="Arial" w:hAnsi="Arial" w:cs="Arial"/>
          <w:sz w:val="14"/>
          <w:szCs w:val="14"/>
        </w:rPr>
        <w:t>24</w:t>
      </w:r>
      <w:r w:rsidR="00A67317" w:rsidRPr="00C06B76">
        <w:rPr>
          <w:rFonts w:ascii="Arial" w:hAnsi="Arial" w:cs="Arial"/>
          <w:sz w:val="14"/>
          <w:szCs w:val="14"/>
        </w:rPr>
        <w:t xml:space="preserve"> lokali gastronomicznych</w:t>
      </w:r>
      <w:r w:rsidR="00C06B76" w:rsidRPr="00C06B76">
        <w:rPr>
          <w:rFonts w:ascii="Arial" w:hAnsi="Arial" w:cs="Arial"/>
          <w:sz w:val="14"/>
          <w:szCs w:val="14"/>
        </w:rPr>
        <w:t>, które można znaleźć przy komfortowej strefie food court, w strefach relaksu na dachu, ale także przy alejach handlowych.</w:t>
      </w:r>
      <w:r w:rsidR="0072478F" w:rsidRPr="00C06B76">
        <w:rPr>
          <w:rFonts w:ascii="Arial" w:hAnsi="Arial" w:cs="Arial"/>
          <w:sz w:val="14"/>
          <w:szCs w:val="14"/>
        </w:rPr>
        <w:t xml:space="preserve">  Galeria Północna to dziś jedyne centrum handlowe w stolicy posiadające swój własny zielony i bioróżnorodny ogród na dachu, w którym można znaleźć m.in. </w:t>
      </w:r>
      <w:r w:rsidR="00A67317" w:rsidRPr="00C06B76">
        <w:rPr>
          <w:rFonts w:ascii="Arial" w:hAnsi="Arial" w:cs="Arial"/>
          <w:sz w:val="14"/>
          <w:szCs w:val="14"/>
        </w:rPr>
        <w:t xml:space="preserve">unikalną w skali światowej </w:t>
      </w:r>
      <w:r w:rsidR="0072478F" w:rsidRPr="00C06B76">
        <w:rPr>
          <w:rFonts w:ascii="Arial" w:hAnsi="Arial" w:cs="Arial"/>
          <w:sz w:val="14"/>
          <w:szCs w:val="14"/>
        </w:rPr>
        <w:t xml:space="preserve">tężnię solankową i place zabaw dla dzieci. </w:t>
      </w:r>
      <w:r w:rsidR="00A67317" w:rsidRPr="00C06B76">
        <w:rPr>
          <w:rFonts w:ascii="Arial" w:hAnsi="Arial" w:cs="Arial"/>
          <w:sz w:val="14"/>
          <w:szCs w:val="14"/>
        </w:rPr>
        <w:t xml:space="preserve">W obiekcie można podziwiać także światowej klasy sztukę: na </w:t>
      </w:r>
      <w:r w:rsidRPr="00C06B76">
        <w:rPr>
          <w:rFonts w:ascii="Arial" w:hAnsi="Arial" w:cs="Arial"/>
          <w:sz w:val="14"/>
          <w:szCs w:val="14"/>
        </w:rPr>
        <w:t>parterze znajduje się rzeźba kinetyczna, a w centralnym punkcie galerii wznosi się najwyższa w Polsce, 22-metrowa rzeźba „Wir” autorstwa Oskara Zięty</w:t>
      </w:r>
      <w:r w:rsidR="0072478F" w:rsidRPr="00C06B76">
        <w:rPr>
          <w:rFonts w:ascii="Arial" w:hAnsi="Arial" w:cs="Arial"/>
          <w:sz w:val="14"/>
          <w:szCs w:val="14"/>
        </w:rPr>
        <w:t>.</w:t>
      </w:r>
      <w:r w:rsidR="00C06B76" w:rsidRPr="00C06B76">
        <w:rPr>
          <w:rFonts w:ascii="Arial" w:hAnsi="Arial" w:cs="Arial"/>
          <w:sz w:val="14"/>
          <w:szCs w:val="14"/>
        </w:rPr>
        <w:t xml:space="preserve"> To także pierwszy obiekt w Warszawie zaprojektowany z troską o środowisko, co potwierdza certyfikat LEED (Leadership in Energy &amp; Environmental Design).</w:t>
      </w:r>
    </w:p>
    <w:p w14:paraId="39F64336" w14:textId="187C3A33" w:rsidR="006F6C92" w:rsidRDefault="006F6C92" w:rsidP="00621F55">
      <w:pPr>
        <w:pStyle w:val="Bezodstpw"/>
      </w:pPr>
    </w:p>
    <w:p w14:paraId="2F941ABD" w14:textId="77777777" w:rsidR="004B54CB" w:rsidRPr="00072930" w:rsidRDefault="004B54CB" w:rsidP="004B54CB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4B54CB">
        <w:rPr>
          <w:rFonts w:ascii="Arial" w:hAnsi="Arial" w:cs="Arial"/>
          <w:b/>
          <w:bCs/>
          <w:sz w:val="14"/>
          <w:szCs w:val="14"/>
        </w:rPr>
        <w:t>Galeria Jurajska</w:t>
      </w:r>
      <w:r w:rsidRPr="00072930">
        <w:rPr>
          <w:rFonts w:ascii="Arial" w:hAnsi="Arial" w:cs="Arial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</w:t>
      </w:r>
      <w:proofErr w:type="spellStart"/>
      <w:r w:rsidRPr="00072930">
        <w:rPr>
          <w:rFonts w:ascii="Arial" w:hAnsi="Arial" w:cs="Arial"/>
          <w:sz w:val="14"/>
          <w:szCs w:val="14"/>
        </w:rPr>
        <w:t>Cropp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Home &amp; </w:t>
      </w:r>
      <w:proofErr w:type="spellStart"/>
      <w:r w:rsidRPr="00072930">
        <w:rPr>
          <w:rFonts w:ascii="Arial" w:hAnsi="Arial" w:cs="Arial"/>
          <w:sz w:val="14"/>
          <w:szCs w:val="14"/>
        </w:rPr>
        <w:t>You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House, </w:t>
      </w:r>
      <w:proofErr w:type="spellStart"/>
      <w:r w:rsidRPr="00072930">
        <w:rPr>
          <w:rFonts w:ascii="Arial" w:hAnsi="Arial" w:cs="Arial"/>
          <w:sz w:val="14"/>
          <w:szCs w:val="14"/>
        </w:rPr>
        <w:t>Mohito</w:t>
      </w:r>
      <w:proofErr w:type="spellEnd"/>
      <w:r w:rsidRPr="00072930">
        <w:rPr>
          <w:rFonts w:ascii="Arial" w:hAnsi="Arial" w:cs="Arial"/>
          <w:sz w:val="14"/>
          <w:szCs w:val="14"/>
        </w:rPr>
        <w:t>, Sinsay), grupa Inditex (</w:t>
      </w:r>
      <w:proofErr w:type="spellStart"/>
      <w:r w:rsidRPr="00072930">
        <w:rPr>
          <w:rFonts w:ascii="Arial" w:hAnsi="Arial" w:cs="Arial"/>
          <w:sz w:val="14"/>
          <w:szCs w:val="14"/>
        </w:rPr>
        <w:t>Zara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072930">
        <w:rPr>
          <w:rFonts w:ascii="Arial" w:hAnsi="Arial" w:cs="Arial"/>
          <w:sz w:val="14"/>
          <w:szCs w:val="14"/>
        </w:rPr>
        <w:t>Bershka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Stradivarius, </w:t>
      </w:r>
      <w:proofErr w:type="spellStart"/>
      <w:r w:rsidRPr="00072930">
        <w:rPr>
          <w:rFonts w:ascii="Arial" w:hAnsi="Arial" w:cs="Arial"/>
          <w:sz w:val="14"/>
          <w:szCs w:val="14"/>
        </w:rPr>
        <w:t>Massimo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072930">
        <w:rPr>
          <w:rFonts w:ascii="Arial" w:hAnsi="Arial" w:cs="Arial"/>
          <w:sz w:val="14"/>
          <w:szCs w:val="14"/>
        </w:rPr>
        <w:t>Dutti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), H&amp;M, TK Maxx, Mango, New </w:t>
      </w:r>
      <w:proofErr w:type="spellStart"/>
      <w:r w:rsidRPr="00072930">
        <w:rPr>
          <w:rFonts w:ascii="Arial" w:hAnsi="Arial" w:cs="Arial"/>
          <w:sz w:val="14"/>
          <w:szCs w:val="14"/>
        </w:rPr>
        <w:t>Yorker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Douglas, Rossmann, </w:t>
      </w:r>
      <w:proofErr w:type="spellStart"/>
      <w:r w:rsidRPr="00072930">
        <w:rPr>
          <w:rFonts w:ascii="Arial" w:hAnsi="Arial" w:cs="Arial"/>
          <w:sz w:val="14"/>
          <w:szCs w:val="14"/>
        </w:rPr>
        <w:t>Sephora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Super Pharm, Euro RTV AGD, </w:t>
      </w:r>
      <w:proofErr w:type="spellStart"/>
      <w:r w:rsidRPr="00072930">
        <w:rPr>
          <w:rFonts w:ascii="Arial" w:hAnsi="Arial" w:cs="Arial"/>
          <w:sz w:val="14"/>
          <w:szCs w:val="14"/>
        </w:rPr>
        <w:t>Intersport</w:t>
      </w:r>
      <w:proofErr w:type="spellEnd"/>
      <w:r w:rsidRPr="00072930">
        <w:rPr>
          <w:rFonts w:ascii="Arial" w:hAnsi="Arial" w:cs="Arial"/>
          <w:sz w:val="14"/>
          <w:szCs w:val="14"/>
        </w:rPr>
        <w:t>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5FD29E33" w14:textId="77777777" w:rsidR="004B54CB" w:rsidRPr="00072930" w:rsidRDefault="004B54CB" w:rsidP="004B54CB">
      <w:pPr>
        <w:pStyle w:val="Bezodstpw"/>
        <w:rPr>
          <w:rFonts w:ascii="Arial" w:hAnsi="Arial" w:cs="Arial"/>
        </w:rPr>
      </w:pPr>
    </w:p>
    <w:p w14:paraId="6B322F91" w14:textId="7DC735C7" w:rsidR="000173A3" w:rsidRPr="000173A3" w:rsidRDefault="000173A3" w:rsidP="000173A3">
      <w:pPr>
        <w:spacing w:after="0" w:line="240" w:lineRule="auto"/>
        <w:jc w:val="both"/>
        <w:rPr>
          <w:rFonts w:ascii="Arial" w:eastAsia="Calibri" w:hAnsi="Arial" w:cs="Arial"/>
          <w:bCs/>
          <w:sz w:val="14"/>
          <w:szCs w:val="14"/>
        </w:rPr>
      </w:pPr>
      <w:r w:rsidRPr="00E00A5A">
        <w:rPr>
          <w:rFonts w:ascii="Arial" w:eastAsia="Calibri" w:hAnsi="Arial" w:cs="Arial"/>
          <w:b/>
          <w:sz w:val="14"/>
          <w:szCs w:val="14"/>
        </w:rPr>
        <w:t>Grupa GTC</w:t>
      </w:r>
      <w:r w:rsidRPr="000173A3">
        <w:rPr>
          <w:rFonts w:ascii="Arial" w:eastAsia="Calibri" w:hAnsi="Arial" w:cs="Arial"/>
          <w:bCs/>
          <w:sz w:val="14"/>
          <w:szCs w:val="14"/>
        </w:rPr>
        <w:t xml:space="preserve"> jest wiodącym inwestorem i deweloperem działającym na rynku nieruchomości, koncentrującym się na Polsce i stolicach krajów Europy Środkowo-Wschodniej. W ciągu 25 lat działalności, GTC wybudował w Europie Środkowo-Wschodniej 77 nowoczesnych obiektów biurowych i handlowych o wysokim standardzie, o łącznej powierzchni około 1,4 mln m kw. Obecnie GTC aktywnie zarządza portfelem nieruchomości komercyjnych, na który składa się 44 budynków komercyjnych oferujących ok. 759 tys. m kw. powierzchni biurowej i handlowej do wynajęcia w Polsce, Węgrzech, Bukareszcie, Belgradzie, Zagrzebiu i Sofii. Ponadto Grupa realizuje 460 tys. m kw. powierzchni komercyjnej w stolicach Europy Środkowo-Wschodniej, z których ponad 51 tys. m kw. są w trakcie budowy.</w:t>
      </w:r>
      <w:r>
        <w:rPr>
          <w:rFonts w:ascii="Arial" w:eastAsia="Calibri" w:hAnsi="Arial" w:cs="Arial"/>
          <w:bCs/>
          <w:sz w:val="14"/>
          <w:szCs w:val="14"/>
        </w:rPr>
        <w:t xml:space="preserve"> </w:t>
      </w:r>
      <w:r w:rsidRPr="000173A3">
        <w:rPr>
          <w:rFonts w:ascii="Arial" w:eastAsia="Calibri" w:hAnsi="Arial" w:cs="Arial"/>
          <w:bCs/>
          <w:sz w:val="14"/>
          <w:szCs w:val="14"/>
        </w:rPr>
        <w:t>Akcje GTC S.A. notowane są na Giełdzie Papierów Wartościowych w Warszawie oraz na Giełdzie Papierów Wartościowych w Johannesburgu.</w:t>
      </w:r>
    </w:p>
    <w:p w14:paraId="7F57B4B3" w14:textId="77777777" w:rsidR="000173A3" w:rsidRDefault="000173A3" w:rsidP="000173A3">
      <w:pPr>
        <w:spacing w:after="0" w:line="240" w:lineRule="auto"/>
        <w:jc w:val="both"/>
        <w:rPr>
          <w:rFonts w:eastAsia="Calibri" w:cstheme="minorHAnsi"/>
          <w:bCs/>
          <w:sz w:val="20"/>
          <w:szCs w:val="20"/>
          <w:lang w:eastAsia="pl-PL"/>
        </w:rPr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09145" w14:textId="77777777" w:rsidR="00A005A7" w:rsidRDefault="00A005A7">
      <w:pPr>
        <w:spacing w:after="0" w:line="240" w:lineRule="auto"/>
      </w:pPr>
      <w:r>
        <w:separator/>
      </w:r>
    </w:p>
  </w:endnote>
  <w:endnote w:type="continuationSeparator" w:id="0">
    <w:p w14:paraId="6660944A" w14:textId="77777777" w:rsidR="00A005A7" w:rsidRDefault="00A00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F202E" w14:textId="77777777" w:rsidR="00A005A7" w:rsidRDefault="00A005A7">
      <w:pPr>
        <w:spacing w:after="0" w:line="240" w:lineRule="auto"/>
      </w:pPr>
      <w:r>
        <w:separator/>
      </w:r>
    </w:p>
  </w:footnote>
  <w:footnote w:type="continuationSeparator" w:id="0">
    <w:p w14:paraId="4E39A91E" w14:textId="77777777" w:rsidR="00A005A7" w:rsidRDefault="00A00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173A3"/>
    <w:rsid w:val="000174D5"/>
    <w:rsid w:val="000309C9"/>
    <w:rsid w:val="00035CE8"/>
    <w:rsid w:val="00040CC4"/>
    <w:rsid w:val="0004281E"/>
    <w:rsid w:val="00045001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C67F8"/>
    <w:rsid w:val="000E02F4"/>
    <w:rsid w:val="000F0DB4"/>
    <w:rsid w:val="0010422E"/>
    <w:rsid w:val="001204DD"/>
    <w:rsid w:val="001230C6"/>
    <w:rsid w:val="00135E58"/>
    <w:rsid w:val="0014204B"/>
    <w:rsid w:val="00145E38"/>
    <w:rsid w:val="001463FD"/>
    <w:rsid w:val="0014717C"/>
    <w:rsid w:val="00171A57"/>
    <w:rsid w:val="00171EAE"/>
    <w:rsid w:val="0019121D"/>
    <w:rsid w:val="00191CFD"/>
    <w:rsid w:val="00192764"/>
    <w:rsid w:val="001B1048"/>
    <w:rsid w:val="001B1EEE"/>
    <w:rsid w:val="001D0DD0"/>
    <w:rsid w:val="001D220A"/>
    <w:rsid w:val="001E0BC5"/>
    <w:rsid w:val="002204F3"/>
    <w:rsid w:val="00226D40"/>
    <w:rsid w:val="00231A2F"/>
    <w:rsid w:val="00281006"/>
    <w:rsid w:val="00290517"/>
    <w:rsid w:val="002B5BB4"/>
    <w:rsid w:val="002E0086"/>
    <w:rsid w:val="00304BAC"/>
    <w:rsid w:val="00330A58"/>
    <w:rsid w:val="00333C4B"/>
    <w:rsid w:val="00334951"/>
    <w:rsid w:val="0033696A"/>
    <w:rsid w:val="00336D4D"/>
    <w:rsid w:val="0034170D"/>
    <w:rsid w:val="00353C60"/>
    <w:rsid w:val="00377551"/>
    <w:rsid w:val="00385BEB"/>
    <w:rsid w:val="003B12D3"/>
    <w:rsid w:val="003B4D8A"/>
    <w:rsid w:val="003B7063"/>
    <w:rsid w:val="003D25CF"/>
    <w:rsid w:val="003E081C"/>
    <w:rsid w:val="004000D5"/>
    <w:rsid w:val="004003A3"/>
    <w:rsid w:val="004160CE"/>
    <w:rsid w:val="00437F60"/>
    <w:rsid w:val="00454A7E"/>
    <w:rsid w:val="00456001"/>
    <w:rsid w:val="00456E28"/>
    <w:rsid w:val="004754FA"/>
    <w:rsid w:val="00495B33"/>
    <w:rsid w:val="004A0083"/>
    <w:rsid w:val="004B4791"/>
    <w:rsid w:val="004B54CB"/>
    <w:rsid w:val="004D2DFB"/>
    <w:rsid w:val="004D75B1"/>
    <w:rsid w:val="004D79AB"/>
    <w:rsid w:val="004E0B14"/>
    <w:rsid w:val="004E6D40"/>
    <w:rsid w:val="004F785C"/>
    <w:rsid w:val="00512F2E"/>
    <w:rsid w:val="0053739A"/>
    <w:rsid w:val="005403D5"/>
    <w:rsid w:val="005409F6"/>
    <w:rsid w:val="00543D94"/>
    <w:rsid w:val="00544563"/>
    <w:rsid w:val="005460BE"/>
    <w:rsid w:val="00550AB7"/>
    <w:rsid w:val="00552D1C"/>
    <w:rsid w:val="005624B2"/>
    <w:rsid w:val="00567743"/>
    <w:rsid w:val="00567EF0"/>
    <w:rsid w:val="00570CE9"/>
    <w:rsid w:val="00575D9B"/>
    <w:rsid w:val="00585C5C"/>
    <w:rsid w:val="005860CE"/>
    <w:rsid w:val="00593044"/>
    <w:rsid w:val="00593656"/>
    <w:rsid w:val="005A288D"/>
    <w:rsid w:val="005A2B31"/>
    <w:rsid w:val="005A7D3A"/>
    <w:rsid w:val="005D474D"/>
    <w:rsid w:val="005E1B9D"/>
    <w:rsid w:val="005E5588"/>
    <w:rsid w:val="005F1828"/>
    <w:rsid w:val="005F4504"/>
    <w:rsid w:val="0060382F"/>
    <w:rsid w:val="00621F55"/>
    <w:rsid w:val="00661F0D"/>
    <w:rsid w:val="00667E0E"/>
    <w:rsid w:val="006754DE"/>
    <w:rsid w:val="006B5C69"/>
    <w:rsid w:val="006D092C"/>
    <w:rsid w:val="006D0E04"/>
    <w:rsid w:val="006D669B"/>
    <w:rsid w:val="006F6C92"/>
    <w:rsid w:val="0071342B"/>
    <w:rsid w:val="00713D82"/>
    <w:rsid w:val="007233AB"/>
    <w:rsid w:val="0072478F"/>
    <w:rsid w:val="007262C6"/>
    <w:rsid w:val="00742E2B"/>
    <w:rsid w:val="007500EB"/>
    <w:rsid w:val="00761B50"/>
    <w:rsid w:val="00765ADC"/>
    <w:rsid w:val="00773211"/>
    <w:rsid w:val="00774BF1"/>
    <w:rsid w:val="00775BFE"/>
    <w:rsid w:val="00782C9D"/>
    <w:rsid w:val="007927C7"/>
    <w:rsid w:val="007A61A3"/>
    <w:rsid w:val="007B0C0F"/>
    <w:rsid w:val="007B100F"/>
    <w:rsid w:val="007C1529"/>
    <w:rsid w:val="007F18D0"/>
    <w:rsid w:val="007F6FA5"/>
    <w:rsid w:val="008004F3"/>
    <w:rsid w:val="008037C1"/>
    <w:rsid w:val="008106B9"/>
    <w:rsid w:val="008144BB"/>
    <w:rsid w:val="00815D51"/>
    <w:rsid w:val="008222CB"/>
    <w:rsid w:val="00836171"/>
    <w:rsid w:val="00842B3D"/>
    <w:rsid w:val="008544C7"/>
    <w:rsid w:val="00856E49"/>
    <w:rsid w:val="008632D4"/>
    <w:rsid w:val="0087090F"/>
    <w:rsid w:val="00881602"/>
    <w:rsid w:val="008910E0"/>
    <w:rsid w:val="008A1469"/>
    <w:rsid w:val="008A3261"/>
    <w:rsid w:val="008A3F80"/>
    <w:rsid w:val="008A6C5A"/>
    <w:rsid w:val="008B111E"/>
    <w:rsid w:val="008C3943"/>
    <w:rsid w:val="008C39E4"/>
    <w:rsid w:val="008F20D1"/>
    <w:rsid w:val="008F22B3"/>
    <w:rsid w:val="008F407D"/>
    <w:rsid w:val="00904F56"/>
    <w:rsid w:val="009054FB"/>
    <w:rsid w:val="00921A3C"/>
    <w:rsid w:val="00922C73"/>
    <w:rsid w:val="0092634F"/>
    <w:rsid w:val="009278D2"/>
    <w:rsid w:val="00957399"/>
    <w:rsid w:val="00961B13"/>
    <w:rsid w:val="00963EDE"/>
    <w:rsid w:val="009705E2"/>
    <w:rsid w:val="009710DE"/>
    <w:rsid w:val="00972416"/>
    <w:rsid w:val="00984525"/>
    <w:rsid w:val="0099154C"/>
    <w:rsid w:val="00995A7B"/>
    <w:rsid w:val="009A5C36"/>
    <w:rsid w:val="009A60C0"/>
    <w:rsid w:val="009C0328"/>
    <w:rsid w:val="009C0941"/>
    <w:rsid w:val="009D48D4"/>
    <w:rsid w:val="009D4F81"/>
    <w:rsid w:val="009E2174"/>
    <w:rsid w:val="009F328D"/>
    <w:rsid w:val="009F36FF"/>
    <w:rsid w:val="009F4252"/>
    <w:rsid w:val="00A005A7"/>
    <w:rsid w:val="00A00CBC"/>
    <w:rsid w:val="00A04724"/>
    <w:rsid w:val="00A06DE5"/>
    <w:rsid w:val="00A11B70"/>
    <w:rsid w:val="00A12600"/>
    <w:rsid w:val="00A173DA"/>
    <w:rsid w:val="00A20E0F"/>
    <w:rsid w:val="00A33188"/>
    <w:rsid w:val="00A35413"/>
    <w:rsid w:val="00A40878"/>
    <w:rsid w:val="00A45548"/>
    <w:rsid w:val="00A46118"/>
    <w:rsid w:val="00A60B48"/>
    <w:rsid w:val="00A64939"/>
    <w:rsid w:val="00A67317"/>
    <w:rsid w:val="00A67974"/>
    <w:rsid w:val="00A74B36"/>
    <w:rsid w:val="00A7716B"/>
    <w:rsid w:val="00A84A20"/>
    <w:rsid w:val="00A87283"/>
    <w:rsid w:val="00AD459D"/>
    <w:rsid w:val="00AE7BCF"/>
    <w:rsid w:val="00B041DE"/>
    <w:rsid w:val="00B11644"/>
    <w:rsid w:val="00B223D5"/>
    <w:rsid w:val="00B23FD0"/>
    <w:rsid w:val="00B51731"/>
    <w:rsid w:val="00B54AFE"/>
    <w:rsid w:val="00B75868"/>
    <w:rsid w:val="00B8427A"/>
    <w:rsid w:val="00B91A67"/>
    <w:rsid w:val="00BB6403"/>
    <w:rsid w:val="00BE2726"/>
    <w:rsid w:val="00BF003E"/>
    <w:rsid w:val="00C06B76"/>
    <w:rsid w:val="00C237B5"/>
    <w:rsid w:val="00C50D93"/>
    <w:rsid w:val="00C65604"/>
    <w:rsid w:val="00C708A3"/>
    <w:rsid w:val="00C70DE5"/>
    <w:rsid w:val="00C774EB"/>
    <w:rsid w:val="00C83162"/>
    <w:rsid w:val="00CA1A7C"/>
    <w:rsid w:val="00CB7F23"/>
    <w:rsid w:val="00CC1E75"/>
    <w:rsid w:val="00CD5151"/>
    <w:rsid w:val="00CE0326"/>
    <w:rsid w:val="00D1250A"/>
    <w:rsid w:val="00D31F97"/>
    <w:rsid w:val="00D35559"/>
    <w:rsid w:val="00D41731"/>
    <w:rsid w:val="00D46586"/>
    <w:rsid w:val="00D6766B"/>
    <w:rsid w:val="00D7672A"/>
    <w:rsid w:val="00D94F73"/>
    <w:rsid w:val="00DA126E"/>
    <w:rsid w:val="00DA65BC"/>
    <w:rsid w:val="00DB184A"/>
    <w:rsid w:val="00DB566D"/>
    <w:rsid w:val="00DB6F8F"/>
    <w:rsid w:val="00DC17F0"/>
    <w:rsid w:val="00DD1F68"/>
    <w:rsid w:val="00E00A5A"/>
    <w:rsid w:val="00E022AF"/>
    <w:rsid w:val="00E11815"/>
    <w:rsid w:val="00E2283F"/>
    <w:rsid w:val="00E31F1D"/>
    <w:rsid w:val="00E433AB"/>
    <w:rsid w:val="00E440A8"/>
    <w:rsid w:val="00E47064"/>
    <w:rsid w:val="00E6195A"/>
    <w:rsid w:val="00E744EA"/>
    <w:rsid w:val="00E77499"/>
    <w:rsid w:val="00E93447"/>
    <w:rsid w:val="00EA3731"/>
    <w:rsid w:val="00EA7619"/>
    <w:rsid w:val="00EC0A2D"/>
    <w:rsid w:val="00EE2743"/>
    <w:rsid w:val="00EE4D13"/>
    <w:rsid w:val="00EF7C6E"/>
    <w:rsid w:val="00F1340D"/>
    <w:rsid w:val="00F16E51"/>
    <w:rsid w:val="00F17916"/>
    <w:rsid w:val="00F44DEE"/>
    <w:rsid w:val="00F525AF"/>
    <w:rsid w:val="00F5468F"/>
    <w:rsid w:val="00F56690"/>
    <w:rsid w:val="00F6215D"/>
    <w:rsid w:val="00F7263A"/>
    <w:rsid w:val="00F813D5"/>
    <w:rsid w:val="00F82B98"/>
    <w:rsid w:val="00F86261"/>
    <w:rsid w:val="00F969EF"/>
    <w:rsid w:val="00FA254A"/>
    <w:rsid w:val="00FA346F"/>
    <w:rsid w:val="00FB70A1"/>
    <w:rsid w:val="00FC2DA0"/>
    <w:rsid w:val="00FC4308"/>
    <w:rsid w:val="00FE1522"/>
    <w:rsid w:val="00FE5199"/>
    <w:rsid w:val="00FE6451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73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</TotalTime>
  <Pages>3</Pages>
  <Words>1603</Words>
  <Characters>9618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 urodziny GP</vt:lpstr>
    </vt:vector>
  </TitlesOfParts>
  <Company/>
  <LinksUpToDate>false</LinksUpToDate>
  <CharactersWithSpaces>11199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 urodziny GP</dc:title>
  <dc:subject>Mat.pras.</dc:subject>
  <dc:creator>gpr</dc:creator>
  <cp:keywords>gp, event, urodziny</cp:keywords>
  <dc:description/>
  <cp:lastModifiedBy>Tomasz Pietrzak</cp:lastModifiedBy>
  <cp:revision>2</cp:revision>
  <cp:lastPrinted>2022-05-11T11:28:00Z</cp:lastPrinted>
  <dcterms:created xsi:type="dcterms:W3CDTF">2022-09-19T07:09:00Z</dcterms:created>
  <dcterms:modified xsi:type="dcterms:W3CDTF">2022-09-19T07:09:00Z</dcterms:modified>
</cp:coreProperties>
</file>